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60"/>
        </w:rPr>
      </w:pPr>
    </w:p>
    <w:p>
      <w:pPr>
        <w:pStyle w:val="BodyText"/>
        <w:rPr>
          <w:sz w:val="60"/>
        </w:rPr>
      </w:pPr>
    </w:p>
    <w:p>
      <w:pPr>
        <w:pStyle w:val="BodyText"/>
        <w:rPr>
          <w:sz w:val="60"/>
        </w:rPr>
      </w:pPr>
    </w:p>
    <w:p>
      <w:pPr>
        <w:pStyle w:val="BodyText"/>
        <w:rPr>
          <w:sz w:val="60"/>
        </w:rPr>
      </w:pPr>
    </w:p>
    <w:p>
      <w:pPr>
        <w:pStyle w:val="BodyText"/>
        <w:rPr>
          <w:sz w:val="60"/>
        </w:rPr>
      </w:pPr>
    </w:p>
    <w:p>
      <w:pPr>
        <w:pStyle w:val="BodyText"/>
        <w:spacing w:before="523"/>
        <w:rPr>
          <w:sz w:val="60"/>
        </w:rPr>
      </w:pPr>
    </w:p>
    <w:p>
      <w:pPr>
        <w:pStyle w:val="Title"/>
      </w:pPr>
      <w:r>
        <w:rPr/>
        <w:t>Murcia</w:t>
      </w:r>
      <w:r>
        <w:rPr>
          <w:spacing w:val="-42"/>
        </w:rPr>
        <w:t> </w:t>
      </w:r>
      <w:r>
        <w:rPr/>
        <w:t>Alta</w:t>
      </w:r>
      <w:r>
        <w:rPr>
          <w:spacing w:val="-28"/>
        </w:rPr>
        <w:t> </w:t>
      </w:r>
      <w:r>
        <w:rPr/>
        <w:t>Velocidad,</w:t>
      </w:r>
      <w:r>
        <w:rPr>
          <w:spacing w:val="-20"/>
        </w:rPr>
        <w:t> </w:t>
      </w:r>
      <w:r>
        <w:rPr>
          <w:spacing w:val="-4"/>
        </w:rPr>
        <w:t>S.A.</w:t>
      </w:r>
    </w:p>
    <w:p>
      <w:pPr>
        <w:spacing w:before="406"/>
        <w:ind w:left="1000" w:right="0" w:firstLine="0"/>
        <w:jc w:val="center"/>
        <w:rPr>
          <w:rFonts w:ascii="Arial"/>
          <w:sz w:val="24"/>
        </w:rPr>
      </w:pPr>
      <w:r>
        <w:rPr>
          <w:rFonts w:ascii="Arial"/>
          <w:sz w:val="24"/>
        </w:rPr>
        <w:t>Cuentas</w:t>
      </w:r>
      <w:r>
        <w:rPr>
          <w:rFonts w:ascii="Arial"/>
          <w:spacing w:val="-15"/>
          <w:sz w:val="24"/>
        </w:rPr>
        <w:t> </w:t>
      </w:r>
      <w:r>
        <w:rPr>
          <w:rFonts w:ascii="Arial"/>
          <w:sz w:val="24"/>
        </w:rPr>
        <w:t>Anuales</w:t>
      </w:r>
      <w:r>
        <w:rPr>
          <w:rFonts w:ascii="Arial"/>
          <w:spacing w:val="-6"/>
          <w:sz w:val="24"/>
        </w:rPr>
        <w:t> </w:t>
      </w:r>
      <w:r>
        <w:rPr>
          <w:rFonts w:ascii="Arial"/>
          <w:sz w:val="24"/>
        </w:rPr>
        <w:t>Abreviadas</w:t>
      </w:r>
      <w:r>
        <w:rPr>
          <w:rFonts w:ascii="Arial"/>
          <w:spacing w:val="-13"/>
          <w:sz w:val="24"/>
        </w:rPr>
        <w:t> </w:t>
      </w:r>
      <w:r>
        <w:rPr>
          <w:rFonts w:ascii="Arial"/>
          <w:sz w:val="24"/>
        </w:rPr>
        <w:t>de</w:t>
      </w:r>
      <w:r>
        <w:rPr>
          <w:rFonts w:ascii="Arial"/>
          <w:spacing w:val="-14"/>
          <w:sz w:val="24"/>
        </w:rPr>
        <w:t> </w:t>
      </w:r>
      <w:r>
        <w:rPr>
          <w:rFonts w:ascii="Arial"/>
          <w:spacing w:val="-4"/>
          <w:sz w:val="24"/>
        </w:rPr>
        <w:t>2025</w:t>
      </w:r>
    </w:p>
    <w:p>
      <w:pPr>
        <w:spacing w:after="0"/>
        <w:jc w:val="center"/>
        <w:rPr>
          <w:rFonts w:ascii="Arial"/>
          <w:sz w:val="24"/>
        </w:rPr>
        <w:sectPr>
          <w:type w:val="continuous"/>
          <w:pgSz w:w="11910" w:h="16840"/>
          <w:pgMar w:top="1920" w:bottom="280" w:left="708" w:right="425"/>
        </w:sect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spacing w:before="187"/>
        <w:rPr>
          <w:rFonts w:ascii="Arial"/>
          <w:sz w:val="28"/>
        </w:rPr>
      </w:pPr>
    </w:p>
    <w:p>
      <w:pPr>
        <w:spacing w:before="1"/>
        <w:ind w:left="3822" w:right="3676" w:firstLine="0"/>
        <w:jc w:val="center"/>
        <w:rPr>
          <w:b/>
          <w:sz w:val="28"/>
        </w:rPr>
      </w:pPr>
      <w:r>
        <w:rPr>
          <w:b/>
          <w:spacing w:val="-2"/>
          <w:sz w:val="28"/>
        </w:rPr>
        <w:t>Cuentas</w:t>
      </w:r>
      <w:r>
        <w:rPr>
          <w:b/>
          <w:spacing w:val="-18"/>
          <w:sz w:val="28"/>
        </w:rPr>
        <w:t> </w:t>
      </w:r>
      <w:r>
        <w:rPr>
          <w:b/>
          <w:spacing w:val="-2"/>
          <w:sz w:val="28"/>
        </w:rPr>
        <w:t>Anuales Abreviadas</w:t>
      </w:r>
    </w:p>
    <w:p>
      <w:pPr>
        <w:spacing w:after="0"/>
        <w:jc w:val="center"/>
        <w:rPr>
          <w:b/>
          <w:sz w:val="28"/>
        </w:rPr>
        <w:sectPr>
          <w:pgSz w:w="11910" w:h="16840"/>
          <w:pgMar w:top="1920" w:bottom="280" w:left="708" w:right="425"/>
        </w:sectPr>
      </w:pPr>
    </w:p>
    <w:p>
      <w:pPr>
        <w:spacing w:before="191"/>
        <w:ind w:left="144" w:right="0" w:firstLine="0"/>
        <w:jc w:val="center"/>
        <w:rPr>
          <w:b/>
          <w:sz w:val="23"/>
        </w:rPr>
      </w:pPr>
      <w:r>
        <w:rPr>
          <w:b/>
          <w:sz w:val="23"/>
        </w:rPr>
        <w:t>Balance</w:t>
      </w:r>
      <w:r>
        <w:rPr>
          <w:b/>
          <w:spacing w:val="-1"/>
          <w:sz w:val="23"/>
        </w:rPr>
        <w:t> </w:t>
      </w:r>
      <w:r>
        <w:rPr>
          <w:b/>
          <w:spacing w:val="-2"/>
          <w:sz w:val="23"/>
        </w:rPr>
        <w:t>abreviado</w:t>
      </w:r>
    </w:p>
    <w:p>
      <w:pPr>
        <w:spacing w:line="244" w:lineRule="auto" w:before="4"/>
        <w:ind w:left="3822" w:right="3677" w:firstLine="0"/>
        <w:jc w:val="center"/>
        <w:rPr>
          <w:b/>
          <w:sz w:val="23"/>
        </w:rPr>
      </w:pPr>
      <w:r>
        <w:rPr>
          <w:b/>
          <w:sz w:val="23"/>
        </w:rPr>
        <w:t>al</w:t>
      </w:r>
      <w:r>
        <w:rPr>
          <w:b/>
          <w:spacing w:val="-8"/>
          <w:sz w:val="23"/>
        </w:rPr>
        <w:t> </w:t>
      </w:r>
      <w:r>
        <w:rPr>
          <w:b/>
          <w:sz w:val="23"/>
        </w:rPr>
        <w:t>31</w:t>
      </w:r>
      <w:r>
        <w:rPr>
          <w:b/>
          <w:spacing w:val="-8"/>
          <w:sz w:val="23"/>
        </w:rPr>
        <w:t> </w:t>
      </w:r>
      <w:r>
        <w:rPr>
          <w:b/>
          <w:sz w:val="23"/>
        </w:rPr>
        <w:t>de</w:t>
      </w:r>
      <w:r>
        <w:rPr>
          <w:b/>
          <w:spacing w:val="-8"/>
          <w:sz w:val="23"/>
        </w:rPr>
        <w:t> </w:t>
      </w:r>
      <w:r>
        <w:rPr>
          <w:b/>
          <w:sz w:val="23"/>
        </w:rPr>
        <w:t>diciembre</w:t>
      </w:r>
      <w:r>
        <w:rPr>
          <w:b/>
          <w:spacing w:val="-8"/>
          <w:sz w:val="23"/>
        </w:rPr>
        <w:t> </w:t>
      </w:r>
      <w:r>
        <w:rPr>
          <w:b/>
          <w:sz w:val="23"/>
        </w:rPr>
        <w:t>de</w:t>
      </w:r>
      <w:r>
        <w:rPr>
          <w:b/>
          <w:spacing w:val="-8"/>
          <w:sz w:val="23"/>
        </w:rPr>
        <w:t> </w:t>
      </w:r>
      <w:r>
        <w:rPr>
          <w:b/>
          <w:sz w:val="23"/>
        </w:rPr>
        <w:t>2025 (expresado en euros)</w:t>
      </w:r>
    </w:p>
    <w:p>
      <w:pPr>
        <w:spacing w:before="223" w:after="9"/>
        <w:ind w:left="1928" w:right="0" w:firstLine="0"/>
        <w:jc w:val="center"/>
        <w:rPr>
          <w:b/>
          <w:sz w:val="20"/>
        </w:rPr>
      </w:pPr>
      <w:r>
        <w:rPr>
          <w:b/>
          <w:sz w:val="20"/>
        </w:rPr>
        <w:t>Notas</w:t>
      </w:r>
      <w:r>
        <w:rPr>
          <w:b/>
          <w:spacing w:val="-4"/>
          <w:sz w:val="20"/>
        </w:rPr>
        <w:t> </w:t>
      </w:r>
      <w:r>
        <w:rPr>
          <w:b/>
          <w:spacing w:val="-5"/>
          <w:sz w:val="20"/>
        </w:rPr>
        <w:t>de</w:t>
      </w:r>
    </w:p>
    <w:tbl>
      <w:tblPr>
        <w:tblW w:w="0" w:type="auto"/>
        <w:jc w:val="left"/>
        <w:tblInd w:w="10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24"/>
        <w:gridCol w:w="1386"/>
        <w:gridCol w:w="1397"/>
        <w:gridCol w:w="138"/>
        <w:gridCol w:w="1400"/>
      </w:tblGrid>
      <w:tr>
        <w:trPr>
          <w:trHeight w:val="441" w:hRule="atLeast"/>
        </w:trPr>
        <w:tc>
          <w:tcPr>
            <w:tcW w:w="4624" w:type="dxa"/>
          </w:tcPr>
          <w:p>
            <w:pPr>
              <w:pStyle w:val="TableParagraph"/>
              <w:spacing w:line="222" w:lineRule="exact"/>
              <w:ind w:left="50"/>
              <w:rPr>
                <w:b/>
                <w:sz w:val="20"/>
              </w:rPr>
            </w:pPr>
            <w:r>
              <w:rPr>
                <w:b/>
                <w:spacing w:val="-2"/>
                <w:sz w:val="20"/>
              </w:rPr>
              <w:t>ACTIVO</w:t>
            </w:r>
          </w:p>
        </w:tc>
        <w:tc>
          <w:tcPr>
            <w:tcW w:w="1386" w:type="dxa"/>
          </w:tcPr>
          <w:p>
            <w:pPr>
              <w:pStyle w:val="TableParagraph"/>
              <w:spacing w:line="221" w:lineRule="exact"/>
              <w:ind w:left="74"/>
              <w:jc w:val="center"/>
              <w:rPr>
                <w:b/>
                <w:sz w:val="20"/>
              </w:rPr>
            </w:pPr>
            <w:r>
              <w:rPr>
                <w:b/>
                <w:spacing w:val="-5"/>
                <w:sz w:val="20"/>
              </w:rPr>
              <w:t>la</w:t>
            </w:r>
          </w:p>
          <w:p>
            <w:pPr>
              <w:pStyle w:val="TableParagraph"/>
              <w:spacing w:line="200" w:lineRule="exact"/>
              <w:ind w:left="75"/>
              <w:jc w:val="center"/>
              <w:rPr>
                <w:b/>
                <w:sz w:val="20"/>
              </w:rPr>
            </w:pPr>
            <w:r>
              <w:rPr>
                <w:b/>
                <w:spacing w:val="65"/>
                <w:sz w:val="20"/>
                <w:u w:val="single"/>
              </w:rPr>
              <w:t> </w:t>
            </w:r>
            <w:r>
              <w:rPr>
                <w:b/>
                <w:spacing w:val="-2"/>
                <w:sz w:val="20"/>
                <w:u w:val="single"/>
              </w:rPr>
              <w:t>Memoria</w:t>
            </w:r>
            <w:r>
              <w:rPr>
                <w:b/>
                <w:spacing w:val="80"/>
                <w:sz w:val="20"/>
                <w:u w:val="single"/>
              </w:rPr>
              <w:t> </w:t>
            </w:r>
          </w:p>
        </w:tc>
        <w:tc>
          <w:tcPr>
            <w:tcW w:w="1397" w:type="dxa"/>
            <w:tcBorders>
              <w:bottom w:val="single" w:sz="8" w:space="0" w:color="000000"/>
            </w:tcBorders>
          </w:tcPr>
          <w:p>
            <w:pPr>
              <w:pStyle w:val="TableParagraph"/>
              <w:spacing w:line="222" w:lineRule="exact"/>
              <w:ind w:right="88"/>
              <w:jc w:val="right"/>
              <w:rPr>
                <w:b/>
                <w:sz w:val="20"/>
              </w:rPr>
            </w:pPr>
            <w:r>
              <w:rPr>
                <w:b/>
                <w:sz w:val="20"/>
              </w:rPr>
              <w:t>Ejercicio</w:t>
            </w:r>
            <w:r>
              <w:rPr>
                <w:b/>
                <w:spacing w:val="-2"/>
                <w:sz w:val="20"/>
              </w:rPr>
              <w:t> </w:t>
            </w:r>
            <w:r>
              <w:rPr>
                <w:b/>
                <w:spacing w:val="-4"/>
                <w:sz w:val="20"/>
              </w:rPr>
              <w:t>2025</w:t>
            </w:r>
          </w:p>
        </w:tc>
        <w:tc>
          <w:tcPr>
            <w:tcW w:w="1538" w:type="dxa"/>
            <w:gridSpan w:val="2"/>
            <w:tcBorders>
              <w:bottom w:val="single" w:sz="8" w:space="0" w:color="000000"/>
            </w:tcBorders>
          </w:tcPr>
          <w:p>
            <w:pPr>
              <w:pStyle w:val="TableParagraph"/>
              <w:spacing w:line="222" w:lineRule="exact"/>
              <w:ind w:left="233"/>
              <w:rPr>
                <w:b/>
                <w:sz w:val="20"/>
              </w:rPr>
            </w:pPr>
            <w:r>
              <w:rPr>
                <w:b/>
                <w:sz w:val="20"/>
              </w:rPr>
              <w:t>Ejercicio</w:t>
            </w:r>
            <w:r>
              <w:rPr>
                <w:b/>
                <w:spacing w:val="-2"/>
                <w:sz w:val="20"/>
              </w:rPr>
              <w:t> </w:t>
            </w:r>
            <w:r>
              <w:rPr>
                <w:b/>
                <w:spacing w:val="-4"/>
                <w:sz w:val="20"/>
              </w:rPr>
              <w:t>2024</w:t>
            </w:r>
          </w:p>
        </w:tc>
      </w:tr>
      <w:tr>
        <w:trPr>
          <w:trHeight w:val="279" w:hRule="atLeast"/>
        </w:trPr>
        <w:tc>
          <w:tcPr>
            <w:tcW w:w="4624" w:type="dxa"/>
          </w:tcPr>
          <w:p>
            <w:pPr>
              <w:pStyle w:val="TableParagraph"/>
              <w:spacing w:before="30"/>
              <w:ind w:left="50"/>
              <w:rPr>
                <w:b/>
                <w:sz w:val="20"/>
              </w:rPr>
            </w:pPr>
            <w:r>
              <w:rPr>
                <w:b/>
                <w:sz w:val="20"/>
              </w:rPr>
              <w:t>ACTIVO</w:t>
            </w:r>
            <w:r>
              <w:rPr>
                <w:b/>
                <w:spacing w:val="-4"/>
                <w:sz w:val="20"/>
              </w:rPr>
              <w:t> </w:t>
            </w:r>
            <w:r>
              <w:rPr>
                <w:b/>
                <w:sz w:val="20"/>
              </w:rPr>
              <w:t>NO</w:t>
            </w:r>
            <w:r>
              <w:rPr>
                <w:b/>
                <w:spacing w:val="-3"/>
                <w:sz w:val="20"/>
              </w:rPr>
              <w:t> </w:t>
            </w:r>
            <w:r>
              <w:rPr>
                <w:b/>
                <w:spacing w:val="-2"/>
                <w:sz w:val="20"/>
              </w:rPr>
              <w:t>CORRIENTE</w:t>
            </w:r>
          </w:p>
        </w:tc>
        <w:tc>
          <w:tcPr>
            <w:tcW w:w="1386" w:type="dxa"/>
          </w:tcPr>
          <w:p>
            <w:pPr>
              <w:pStyle w:val="TableParagraph"/>
              <w:rPr>
                <w:sz w:val="20"/>
              </w:rPr>
            </w:pPr>
          </w:p>
        </w:tc>
        <w:tc>
          <w:tcPr>
            <w:tcW w:w="1397" w:type="dxa"/>
            <w:tcBorders>
              <w:top w:val="single" w:sz="8" w:space="0" w:color="000000"/>
              <w:bottom w:val="single" w:sz="8" w:space="0" w:color="000000"/>
            </w:tcBorders>
          </w:tcPr>
          <w:p>
            <w:pPr>
              <w:pStyle w:val="TableParagraph"/>
              <w:spacing w:before="20"/>
              <w:ind w:right="68"/>
              <w:jc w:val="right"/>
              <w:rPr>
                <w:b/>
                <w:sz w:val="20"/>
              </w:rPr>
            </w:pPr>
            <w:r>
              <w:rPr>
                <w:b/>
                <w:spacing w:val="-2"/>
                <w:sz w:val="20"/>
              </w:rPr>
              <w:t>6.711,99</w:t>
            </w:r>
          </w:p>
        </w:tc>
        <w:tc>
          <w:tcPr>
            <w:tcW w:w="138" w:type="dxa"/>
          </w:tcPr>
          <w:p>
            <w:pPr>
              <w:pStyle w:val="TableParagraph"/>
              <w:rPr>
                <w:sz w:val="20"/>
              </w:rPr>
            </w:pPr>
          </w:p>
        </w:tc>
        <w:tc>
          <w:tcPr>
            <w:tcW w:w="1400" w:type="dxa"/>
            <w:tcBorders>
              <w:top w:val="single" w:sz="8" w:space="0" w:color="000000"/>
              <w:bottom w:val="single" w:sz="8" w:space="0" w:color="000000"/>
            </w:tcBorders>
          </w:tcPr>
          <w:p>
            <w:pPr>
              <w:pStyle w:val="TableParagraph"/>
              <w:spacing w:before="20"/>
              <w:ind w:right="66"/>
              <w:jc w:val="right"/>
              <w:rPr>
                <w:b/>
                <w:sz w:val="20"/>
              </w:rPr>
            </w:pPr>
            <w:r>
              <w:rPr>
                <w:b/>
                <w:spacing w:val="-2"/>
                <w:sz w:val="20"/>
              </w:rPr>
              <w:t>7.885,95</w:t>
            </w:r>
          </w:p>
        </w:tc>
      </w:tr>
      <w:tr>
        <w:trPr>
          <w:trHeight w:val="263" w:hRule="atLeast"/>
        </w:trPr>
        <w:tc>
          <w:tcPr>
            <w:tcW w:w="4624" w:type="dxa"/>
          </w:tcPr>
          <w:p>
            <w:pPr>
              <w:pStyle w:val="TableParagraph"/>
              <w:spacing w:before="13"/>
              <w:ind w:left="50"/>
              <w:rPr>
                <w:b/>
                <w:sz w:val="20"/>
              </w:rPr>
            </w:pPr>
            <w:r>
              <w:rPr>
                <w:b/>
                <w:sz w:val="20"/>
              </w:rPr>
              <w:t>Inmovilizado</w:t>
            </w:r>
            <w:r>
              <w:rPr>
                <w:b/>
                <w:spacing w:val="-2"/>
                <w:sz w:val="20"/>
              </w:rPr>
              <w:t> intangible</w:t>
            </w:r>
          </w:p>
        </w:tc>
        <w:tc>
          <w:tcPr>
            <w:tcW w:w="1386" w:type="dxa"/>
          </w:tcPr>
          <w:p>
            <w:pPr>
              <w:pStyle w:val="TableParagraph"/>
              <w:spacing w:before="13"/>
              <w:ind w:left="76"/>
              <w:jc w:val="center"/>
              <w:rPr>
                <w:b/>
                <w:sz w:val="20"/>
              </w:rPr>
            </w:pPr>
            <w:r>
              <w:rPr>
                <w:b/>
                <w:spacing w:val="-10"/>
                <w:sz w:val="20"/>
              </w:rPr>
              <w:t>5</w:t>
            </w:r>
          </w:p>
        </w:tc>
        <w:tc>
          <w:tcPr>
            <w:tcW w:w="1397" w:type="dxa"/>
            <w:tcBorders>
              <w:top w:val="single" w:sz="8" w:space="0" w:color="000000"/>
            </w:tcBorders>
          </w:tcPr>
          <w:p>
            <w:pPr>
              <w:pStyle w:val="TableParagraph"/>
              <w:spacing w:before="13"/>
              <w:ind w:right="68"/>
              <w:jc w:val="right"/>
              <w:rPr>
                <w:b/>
                <w:sz w:val="20"/>
              </w:rPr>
            </w:pPr>
            <w:r>
              <w:rPr>
                <w:b/>
                <w:spacing w:val="-2"/>
                <w:sz w:val="20"/>
              </w:rPr>
              <w:t>67,14</w:t>
            </w:r>
          </w:p>
        </w:tc>
        <w:tc>
          <w:tcPr>
            <w:tcW w:w="138" w:type="dxa"/>
          </w:tcPr>
          <w:p>
            <w:pPr>
              <w:pStyle w:val="TableParagraph"/>
              <w:rPr>
                <w:sz w:val="18"/>
              </w:rPr>
            </w:pPr>
          </w:p>
        </w:tc>
        <w:tc>
          <w:tcPr>
            <w:tcW w:w="1400" w:type="dxa"/>
            <w:tcBorders>
              <w:top w:val="single" w:sz="8" w:space="0" w:color="000000"/>
            </w:tcBorders>
          </w:tcPr>
          <w:p>
            <w:pPr>
              <w:pStyle w:val="TableParagraph"/>
              <w:spacing w:before="13"/>
              <w:ind w:right="66"/>
              <w:jc w:val="right"/>
              <w:rPr>
                <w:b/>
                <w:sz w:val="20"/>
              </w:rPr>
            </w:pPr>
            <w:r>
              <w:rPr>
                <w:b/>
                <w:spacing w:val="-2"/>
                <w:sz w:val="20"/>
              </w:rPr>
              <w:t>87,80</w:t>
            </w:r>
          </w:p>
        </w:tc>
      </w:tr>
      <w:tr>
        <w:trPr>
          <w:trHeight w:val="261" w:hRule="atLeast"/>
        </w:trPr>
        <w:tc>
          <w:tcPr>
            <w:tcW w:w="4624" w:type="dxa"/>
          </w:tcPr>
          <w:p>
            <w:pPr>
              <w:pStyle w:val="TableParagraph"/>
              <w:spacing w:line="229" w:lineRule="exact" w:before="12"/>
              <w:ind w:left="50"/>
              <w:rPr>
                <w:b/>
                <w:sz w:val="20"/>
              </w:rPr>
            </w:pPr>
            <w:r>
              <w:rPr>
                <w:b/>
                <w:sz w:val="20"/>
              </w:rPr>
              <w:t>Inmovilizado</w:t>
            </w:r>
            <w:r>
              <w:rPr>
                <w:b/>
                <w:spacing w:val="-3"/>
                <w:sz w:val="20"/>
              </w:rPr>
              <w:t> </w:t>
            </w:r>
            <w:r>
              <w:rPr>
                <w:b/>
                <w:spacing w:val="-2"/>
                <w:sz w:val="20"/>
              </w:rPr>
              <w:t>material</w:t>
            </w:r>
          </w:p>
        </w:tc>
        <w:tc>
          <w:tcPr>
            <w:tcW w:w="1386" w:type="dxa"/>
          </w:tcPr>
          <w:p>
            <w:pPr>
              <w:pStyle w:val="TableParagraph"/>
              <w:spacing w:line="229" w:lineRule="exact" w:before="12"/>
              <w:ind w:left="76"/>
              <w:jc w:val="center"/>
              <w:rPr>
                <w:b/>
                <w:sz w:val="20"/>
              </w:rPr>
            </w:pPr>
            <w:r>
              <w:rPr>
                <w:b/>
                <w:spacing w:val="-10"/>
                <w:sz w:val="20"/>
              </w:rPr>
              <w:t>6</w:t>
            </w:r>
          </w:p>
        </w:tc>
        <w:tc>
          <w:tcPr>
            <w:tcW w:w="1397" w:type="dxa"/>
            <w:tcBorders>
              <w:bottom w:val="single" w:sz="8" w:space="0" w:color="000000"/>
            </w:tcBorders>
          </w:tcPr>
          <w:p>
            <w:pPr>
              <w:pStyle w:val="TableParagraph"/>
              <w:spacing w:line="229" w:lineRule="exact" w:before="12"/>
              <w:ind w:right="68"/>
              <w:jc w:val="right"/>
              <w:rPr>
                <w:b/>
                <w:sz w:val="20"/>
              </w:rPr>
            </w:pPr>
            <w:r>
              <w:rPr>
                <w:b/>
                <w:spacing w:val="-2"/>
                <w:sz w:val="20"/>
              </w:rPr>
              <w:t>6.644,85</w:t>
            </w:r>
          </w:p>
        </w:tc>
        <w:tc>
          <w:tcPr>
            <w:tcW w:w="1538" w:type="dxa"/>
            <w:gridSpan w:val="2"/>
            <w:tcBorders>
              <w:bottom w:val="single" w:sz="8" w:space="0" w:color="000000"/>
            </w:tcBorders>
          </w:tcPr>
          <w:p>
            <w:pPr>
              <w:pStyle w:val="TableParagraph"/>
              <w:spacing w:line="229" w:lineRule="exact" w:before="12"/>
              <w:ind w:left="769"/>
              <w:rPr>
                <w:b/>
                <w:sz w:val="20"/>
              </w:rPr>
            </w:pPr>
            <w:r>
              <w:rPr>
                <w:b/>
                <w:spacing w:val="-2"/>
                <w:sz w:val="20"/>
              </w:rPr>
              <w:t>7.798,15</w:t>
            </w:r>
          </w:p>
        </w:tc>
      </w:tr>
      <w:tr>
        <w:trPr>
          <w:trHeight w:val="270" w:hRule="atLeast"/>
        </w:trPr>
        <w:tc>
          <w:tcPr>
            <w:tcW w:w="4624" w:type="dxa"/>
          </w:tcPr>
          <w:p>
            <w:pPr>
              <w:pStyle w:val="TableParagraph"/>
              <w:spacing w:before="20"/>
              <w:ind w:left="50"/>
              <w:rPr>
                <w:b/>
                <w:sz w:val="20"/>
              </w:rPr>
            </w:pPr>
            <w:r>
              <w:rPr>
                <w:b/>
                <w:sz w:val="20"/>
              </w:rPr>
              <w:t>ACTIVO</w:t>
            </w:r>
            <w:r>
              <w:rPr>
                <w:b/>
                <w:spacing w:val="-4"/>
                <w:sz w:val="20"/>
              </w:rPr>
              <w:t> </w:t>
            </w:r>
            <w:r>
              <w:rPr>
                <w:b/>
                <w:spacing w:val="-2"/>
                <w:sz w:val="20"/>
              </w:rPr>
              <w:t>CORRIENTE</w:t>
            </w:r>
          </w:p>
        </w:tc>
        <w:tc>
          <w:tcPr>
            <w:tcW w:w="1386" w:type="dxa"/>
          </w:tcPr>
          <w:p>
            <w:pPr>
              <w:pStyle w:val="TableParagraph"/>
              <w:rPr>
                <w:sz w:val="20"/>
              </w:rPr>
            </w:pPr>
          </w:p>
        </w:tc>
        <w:tc>
          <w:tcPr>
            <w:tcW w:w="1397" w:type="dxa"/>
            <w:tcBorders>
              <w:top w:val="single" w:sz="8" w:space="0" w:color="000000"/>
              <w:bottom w:val="single" w:sz="8" w:space="0" w:color="000000"/>
            </w:tcBorders>
          </w:tcPr>
          <w:p>
            <w:pPr>
              <w:pStyle w:val="TableParagraph"/>
              <w:spacing w:before="20"/>
              <w:ind w:right="68"/>
              <w:jc w:val="right"/>
              <w:rPr>
                <w:b/>
                <w:sz w:val="20"/>
              </w:rPr>
            </w:pPr>
            <w:r>
              <w:rPr>
                <w:b/>
                <w:spacing w:val="-2"/>
                <w:sz w:val="20"/>
              </w:rPr>
              <w:t>463.442.203,27</w:t>
            </w:r>
          </w:p>
        </w:tc>
        <w:tc>
          <w:tcPr>
            <w:tcW w:w="138" w:type="dxa"/>
          </w:tcPr>
          <w:p>
            <w:pPr>
              <w:pStyle w:val="TableParagraph"/>
              <w:rPr>
                <w:sz w:val="20"/>
              </w:rPr>
            </w:pPr>
          </w:p>
        </w:tc>
        <w:tc>
          <w:tcPr>
            <w:tcW w:w="1400" w:type="dxa"/>
            <w:tcBorders>
              <w:top w:val="single" w:sz="8" w:space="0" w:color="000000"/>
              <w:bottom w:val="single" w:sz="8" w:space="0" w:color="000000"/>
            </w:tcBorders>
          </w:tcPr>
          <w:p>
            <w:pPr>
              <w:pStyle w:val="TableParagraph"/>
              <w:spacing w:before="20"/>
              <w:ind w:right="66"/>
              <w:jc w:val="right"/>
              <w:rPr>
                <w:b/>
                <w:sz w:val="20"/>
              </w:rPr>
            </w:pPr>
            <w:r>
              <w:rPr>
                <w:b/>
                <w:spacing w:val="-2"/>
                <w:sz w:val="20"/>
              </w:rPr>
              <w:t>363.621.924,08</w:t>
            </w:r>
          </w:p>
        </w:tc>
      </w:tr>
      <w:tr>
        <w:trPr>
          <w:trHeight w:val="259" w:hRule="atLeast"/>
        </w:trPr>
        <w:tc>
          <w:tcPr>
            <w:tcW w:w="4624" w:type="dxa"/>
          </w:tcPr>
          <w:p>
            <w:pPr>
              <w:pStyle w:val="TableParagraph"/>
              <w:spacing w:line="226" w:lineRule="exact" w:before="13"/>
              <w:ind w:left="50"/>
              <w:rPr>
                <w:b/>
                <w:sz w:val="20"/>
              </w:rPr>
            </w:pPr>
            <w:r>
              <w:rPr>
                <w:b/>
                <w:spacing w:val="-2"/>
                <w:sz w:val="20"/>
              </w:rPr>
              <w:t>Existencias</w:t>
            </w:r>
          </w:p>
        </w:tc>
        <w:tc>
          <w:tcPr>
            <w:tcW w:w="1386" w:type="dxa"/>
          </w:tcPr>
          <w:p>
            <w:pPr>
              <w:pStyle w:val="TableParagraph"/>
              <w:spacing w:line="226" w:lineRule="exact" w:before="13"/>
              <w:ind w:left="77"/>
              <w:jc w:val="center"/>
              <w:rPr>
                <w:b/>
                <w:sz w:val="20"/>
              </w:rPr>
            </w:pPr>
            <w:r>
              <w:rPr>
                <w:b/>
                <w:spacing w:val="-5"/>
                <w:sz w:val="20"/>
              </w:rPr>
              <w:t>10</w:t>
            </w:r>
          </w:p>
        </w:tc>
        <w:tc>
          <w:tcPr>
            <w:tcW w:w="1397" w:type="dxa"/>
            <w:tcBorders>
              <w:top w:val="single" w:sz="8" w:space="0" w:color="000000"/>
            </w:tcBorders>
          </w:tcPr>
          <w:p>
            <w:pPr>
              <w:pStyle w:val="TableParagraph"/>
              <w:spacing w:line="226" w:lineRule="exact" w:before="13"/>
              <w:ind w:right="68"/>
              <w:jc w:val="right"/>
              <w:rPr>
                <w:b/>
                <w:sz w:val="20"/>
              </w:rPr>
            </w:pPr>
            <w:r>
              <w:rPr>
                <w:b/>
                <w:spacing w:val="-2"/>
                <w:sz w:val="20"/>
              </w:rPr>
              <w:t>277.466.388,49</w:t>
            </w:r>
          </w:p>
        </w:tc>
        <w:tc>
          <w:tcPr>
            <w:tcW w:w="138" w:type="dxa"/>
          </w:tcPr>
          <w:p>
            <w:pPr>
              <w:pStyle w:val="TableParagraph"/>
              <w:rPr>
                <w:sz w:val="18"/>
              </w:rPr>
            </w:pPr>
          </w:p>
        </w:tc>
        <w:tc>
          <w:tcPr>
            <w:tcW w:w="1400" w:type="dxa"/>
            <w:tcBorders>
              <w:top w:val="single" w:sz="8" w:space="0" w:color="000000"/>
            </w:tcBorders>
          </w:tcPr>
          <w:p>
            <w:pPr>
              <w:pStyle w:val="TableParagraph"/>
              <w:spacing w:line="226" w:lineRule="exact" w:before="13"/>
              <w:ind w:right="66"/>
              <w:jc w:val="right"/>
              <w:rPr>
                <w:b/>
                <w:sz w:val="20"/>
              </w:rPr>
            </w:pPr>
            <w:r>
              <w:rPr>
                <w:b/>
                <w:spacing w:val="-2"/>
                <w:sz w:val="20"/>
              </w:rPr>
              <w:t>245.441.302,19</w:t>
            </w:r>
          </w:p>
        </w:tc>
      </w:tr>
      <w:tr>
        <w:trPr>
          <w:trHeight w:val="255" w:hRule="atLeast"/>
        </w:trPr>
        <w:tc>
          <w:tcPr>
            <w:tcW w:w="4624" w:type="dxa"/>
          </w:tcPr>
          <w:p>
            <w:pPr>
              <w:pStyle w:val="TableParagraph"/>
              <w:spacing w:line="227" w:lineRule="exact" w:before="8"/>
              <w:ind w:left="50"/>
              <w:rPr>
                <w:b/>
                <w:sz w:val="20"/>
              </w:rPr>
            </w:pPr>
            <w:r>
              <w:rPr>
                <w:b/>
                <w:sz w:val="20"/>
              </w:rPr>
              <w:t>Deudores</w:t>
            </w:r>
            <w:r>
              <w:rPr>
                <w:b/>
                <w:spacing w:val="-6"/>
                <w:sz w:val="20"/>
              </w:rPr>
              <w:t> </w:t>
            </w:r>
            <w:r>
              <w:rPr>
                <w:b/>
                <w:sz w:val="20"/>
              </w:rPr>
              <w:t>comerciales</w:t>
            </w:r>
            <w:r>
              <w:rPr>
                <w:b/>
                <w:spacing w:val="-3"/>
                <w:sz w:val="20"/>
              </w:rPr>
              <w:t> </w:t>
            </w:r>
            <w:r>
              <w:rPr>
                <w:b/>
                <w:sz w:val="20"/>
              </w:rPr>
              <w:t>y</w:t>
            </w:r>
            <w:r>
              <w:rPr>
                <w:b/>
                <w:spacing w:val="-3"/>
                <w:sz w:val="20"/>
              </w:rPr>
              <w:t> </w:t>
            </w:r>
            <w:r>
              <w:rPr>
                <w:b/>
                <w:sz w:val="20"/>
              </w:rPr>
              <w:t>otras</w:t>
            </w:r>
            <w:r>
              <w:rPr>
                <w:b/>
                <w:spacing w:val="-4"/>
                <w:sz w:val="20"/>
              </w:rPr>
              <w:t> </w:t>
            </w:r>
            <w:r>
              <w:rPr>
                <w:b/>
                <w:sz w:val="20"/>
              </w:rPr>
              <w:t>cuentas</w:t>
            </w:r>
            <w:r>
              <w:rPr>
                <w:b/>
                <w:spacing w:val="-5"/>
                <w:sz w:val="20"/>
              </w:rPr>
              <w:t> </w:t>
            </w:r>
            <w:r>
              <w:rPr>
                <w:b/>
                <w:sz w:val="20"/>
              </w:rPr>
              <w:t>a</w:t>
            </w:r>
            <w:r>
              <w:rPr>
                <w:b/>
                <w:spacing w:val="-3"/>
                <w:sz w:val="20"/>
              </w:rPr>
              <w:t> </w:t>
            </w:r>
            <w:r>
              <w:rPr>
                <w:b/>
                <w:spacing w:val="-2"/>
                <w:sz w:val="20"/>
              </w:rPr>
              <w:t>cobrar</w:t>
            </w:r>
          </w:p>
        </w:tc>
        <w:tc>
          <w:tcPr>
            <w:tcW w:w="1386" w:type="dxa"/>
          </w:tcPr>
          <w:p>
            <w:pPr>
              <w:pStyle w:val="TableParagraph"/>
              <w:rPr>
                <w:sz w:val="18"/>
              </w:rPr>
            </w:pPr>
          </w:p>
        </w:tc>
        <w:tc>
          <w:tcPr>
            <w:tcW w:w="1397" w:type="dxa"/>
          </w:tcPr>
          <w:p>
            <w:pPr>
              <w:pStyle w:val="TableParagraph"/>
              <w:spacing w:line="227" w:lineRule="exact" w:before="8"/>
              <w:ind w:right="68"/>
              <w:jc w:val="right"/>
              <w:rPr>
                <w:b/>
                <w:sz w:val="20"/>
              </w:rPr>
            </w:pPr>
            <w:r>
              <w:rPr>
                <w:b/>
                <w:spacing w:val="-2"/>
                <w:sz w:val="20"/>
              </w:rPr>
              <w:t>3.531.933,71</w:t>
            </w:r>
          </w:p>
        </w:tc>
        <w:tc>
          <w:tcPr>
            <w:tcW w:w="1538" w:type="dxa"/>
            <w:gridSpan w:val="2"/>
          </w:tcPr>
          <w:p>
            <w:pPr>
              <w:pStyle w:val="TableParagraph"/>
              <w:spacing w:line="227" w:lineRule="exact" w:before="8"/>
              <w:ind w:left="418"/>
              <w:rPr>
                <w:b/>
                <w:sz w:val="20"/>
              </w:rPr>
            </w:pPr>
            <w:r>
              <w:rPr>
                <w:b/>
                <w:spacing w:val="-2"/>
                <w:sz w:val="20"/>
              </w:rPr>
              <w:t>2.007.083,22</w:t>
            </w:r>
          </w:p>
        </w:tc>
      </w:tr>
      <w:tr>
        <w:trPr>
          <w:trHeight w:val="255" w:hRule="atLeast"/>
        </w:trPr>
        <w:tc>
          <w:tcPr>
            <w:tcW w:w="4624" w:type="dxa"/>
          </w:tcPr>
          <w:p>
            <w:pPr>
              <w:pStyle w:val="TableParagraph"/>
              <w:spacing w:line="226" w:lineRule="exact" w:before="8"/>
              <w:ind w:left="250"/>
              <w:rPr>
                <w:sz w:val="20"/>
              </w:rPr>
            </w:pPr>
            <w:r>
              <w:rPr>
                <w:sz w:val="20"/>
              </w:rPr>
              <w:t>Clientes</w:t>
            </w:r>
            <w:r>
              <w:rPr>
                <w:spacing w:val="-3"/>
                <w:sz w:val="20"/>
              </w:rPr>
              <w:t> </w:t>
            </w:r>
            <w:r>
              <w:rPr>
                <w:sz w:val="20"/>
              </w:rPr>
              <w:t>por</w:t>
            </w:r>
            <w:r>
              <w:rPr>
                <w:spacing w:val="-3"/>
                <w:sz w:val="20"/>
              </w:rPr>
              <w:t> </w:t>
            </w:r>
            <w:r>
              <w:rPr>
                <w:sz w:val="20"/>
              </w:rPr>
              <w:t>ventas</w:t>
            </w:r>
            <w:r>
              <w:rPr>
                <w:spacing w:val="-3"/>
                <w:sz w:val="20"/>
              </w:rPr>
              <w:t> </w:t>
            </w:r>
            <w:r>
              <w:rPr>
                <w:sz w:val="20"/>
              </w:rPr>
              <w:t>y</w:t>
            </w:r>
            <w:r>
              <w:rPr>
                <w:spacing w:val="-2"/>
                <w:sz w:val="20"/>
              </w:rPr>
              <w:t> </w:t>
            </w:r>
            <w:r>
              <w:rPr>
                <w:sz w:val="20"/>
              </w:rPr>
              <w:t>prestaciones</w:t>
            </w:r>
            <w:r>
              <w:rPr>
                <w:spacing w:val="-3"/>
                <w:sz w:val="20"/>
              </w:rPr>
              <w:t> </w:t>
            </w:r>
            <w:r>
              <w:rPr>
                <w:sz w:val="20"/>
              </w:rPr>
              <w:t>de</w:t>
            </w:r>
            <w:r>
              <w:rPr>
                <w:spacing w:val="-2"/>
                <w:sz w:val="20"/>
              </w:rPr>
              <w:t> servicios</w:t>
            </w:r>
          </w:p>
        </w:tc>
        <w:tc>
          <w:tcPr>
            <w:tcW w:w="1386" w:type="dxa"/>
          </w:tcPr>
          <w:p>
            <w:pPr>
              <w:pStyle w:val="TableParagraph"/>
              <w:spacing w:line="226" w:lineRule="exact" w:before="8"/>
              <w:ind w:left="76"/>
              <w:jc w:val="center"/>
              <w:rPr>
                <w:b/>
                <w:sz w:val="20"/>
              </w:rPr>
            </w:pPr>
            <w:r>
              <w:rPr>
                <w:b/>
                <w:spacing w:val="-10"/>
                <w:sz w:val="20"/>
              </w:rPr>
              <w:t>7</w:t>
            </w:r>
          </w:p>
        </w:tc>
        <w:tc>
          <w:tcPr>
            <w:tcW w:w="1397" w:type="dxa"/>
          </w:tcPr>
          <w:p>
            <w:pPr>
              <w:pStyle w:val="TableParagraph"/>
              <w:spacing w:line="226" w:lineRule="exact" w:before="8"/>
              <w:ind w:right="68"/>
              <w:jc w:val="right"/>
              <w:rPr>
                <w:sz w:val="20"/>
              </w:rPr>
            </w:pPr>
            <w:r>
              <w:rPr>
                <w:spacing w:val="-4"/>
                <w:sz w:val="20"/>
              </w:rPr>
              <w:t>0,00</w:t>
            </w:r>
          </w:p>
        </w:tc>
        <w:tc>
          <w:tcPr>
            <w:tcW w:w="1538" w:type="dxa"/>
            <w:gridSpan w:val="2"/>
          </w:tcPr>
          <w:p>
            <w:pPr>
              <w:pStyle w:val="TableParagraph"/>
              <w:spacing w:line="226" w:lineRule="exact" w:before="8"/>
              <w:ind w:left="769"/>
              <w:rPr>
                <w:sz w:val="20"/>
              </w:rPr>
            </w:pPr>
            <w:r>
              <w:rPr>
                <w:spacing w:val="-2"/>
                <w:sz w:val="20"/>
              </w:rPr>
              <w:t>6.613,24</w:t>
            </w:r>
          </w:p>
        </w:tc>
      </w:tr>
      <w:tr>
        <w:trPr>
          <w:trHeight w:val="255" w:hRule="atLeast"/>
        </w:trPr>
        <w:tc>
          <w:tcPr>
            <w:tcW w:w="4624" w:type="dxa"/>
          </w:tcPr>
          <w:p>
            <w:pPr>
              <w:pStyle w:val="TableParagraph"/>
              <w:spacing w:line="227" w:lineRule="exact" w:before="8"/>
              <w:ind w:left="250"/>
              <w:rPr>
                <w:sz w:val="20"/>
              </w:rPr>
            </w:pPr>
            <w:r>
              <w:rPr>
                <w:sz w:val="20"/>
              </w:rPr>
              <w:t>Otros</w:t>
            </w:r>
            <w:r>
              <w:rPr>
                <w:spacing w:val="-5"/>
                <w:sz w:val="20"/>
              </w:rPr>
              <w:t> </w:t>
            </w:r>
            <w:r>
              <w:rPr>
                <w:spacing w:val="-2"/>
                <w:sz w:val="20"/>
              </w:rPr>
              <w:t>deudores</w:t>
            </w:r>
          </w:p>
        </w:tc>
        <w:tc>
          <w:tcPr>
            <w:tcW w:w="1386" w:type="dxa"/>
          </w:tcPr>
          <w:p>
            <w:pPr>
              <w:pStyle w:val="TableParagraph"/>
              <w:rPr>
                <w:sz w:val="18"/>
              </w:rPr>
            </w:pPr>
          </w:p>
        </w:tc>
        <w:tc>
          <w:tcPr>
            <w:tcW w:w="1397" w:type="dxa"/>
          </w:tcPr>
          <w:p>
            <w:pPr>
              <w:pStyle w:val="TableParagraph"/>
              <w:spacing w:line="227" w:lineRule="exact" w:before="8"/>
              <w:ind w:right="68"/>
              <w:jc w:val="right"/>
              <w:rPr>
                <w:sz w:val="20"/>
              </w:rPr>
            </w:pPr>
            <w:r>
              <w:rPr>
                <w:spacing w:val="-2"/>
                <w:sz w:val="20"/>
              </w:rPr>
              <w:t>3.531.933,71</w:t>
            </w:r>
          </w:p>
        </w:tc>
        <w:tc>
          <w:tcPr>
            <w:tcW w:w="1538" w:type="dxa"/>
            <w:gridSpan w:val="2"/>
          </w:tcPr>
          <w:p>
            <w:pPr>
              <w:pStyle w:val="TableParagraph"/>
              <w:spacing w:line="227" w:lineRule="exact" w:before="8"/>
              <w:ind w:left="418"/>
              <w:rPr>
                <w:sz w:val="20"/>
              </w:rPr>
            </w:pPr>
            <w:r>
              <w:rPr>
                <w:spacing w:val="-2"/>
                <w:sz w:val="20"/>
              </w:rPr>
              <w:t>2.000.469,98</w:t>
            </w:r>
          </w:p>
        </w:tc>
      </w:tr>
      <w:tr>
        <w:trPr>
          <w:trHeight w:val="258" w:hRule="atLeast"/>
        </w:trPr>
        <w:tc>
          <w:tcPr>
            <w:tcW w:w="4624" w:type="dxa"/>
          </w:tcPr>
          <w:p>
            <w:pPr>
              <w:pStyle w:val="TableParagraph"/>
              <w:spacing w:before="8"/>
              <w:ind w:left="50"/>
              <w:rPr>
                <w:b/>
                <w:sz w:val="20"/>
              </w:rPr>
            </w:pPr>
            <w:r>
              <w:rPr>
                <w:b/>
                <w:sz w:val="20"/>
              </w:rPr>
              <w:t>Inversiones</w:t>
            </w:r>
            <w:r>
              <w:rPr>
                <w:b/>
                <w:spacing w:val="-6"/>
                <w:sz w:val="20"/>
              </w:rPr>
              <w:t> </w:t>
            </w:r>
            <w:r>
              <w:rPr>
                <w:b/>
                <w:sz w:val="20"/>
              </w:rPr>
              <w:t>financieras</w:t>
            </w:r>
            <w:r>
              <w:rPr>
                <w:b/>
                <w:spacing w:val="-4"/>
                <w:sz w:val="20"/>
              </w:rPr>
              <w:t> </w:t>
            </w:r>
            <w:r>
              <w:rPr>
                <w:b/>
                <w:sz w:val="20"/>
              </w:rPr>
              <w:t>a</w:t>
            </w:r>
            <w:r>
              <w:rPr>
                <w:b/>
                <w:spacing w:val="-3"/>
                <w:sz w:val="20"/>
              </w:rPr>
              <w:t> </w:t>
            </w:r>
            <w:r>
              <w:rPr>
                <w:b/>
                <w:sz w:val="20"/>
              </w:rPr>
              <w:t>corto</w:t>
            </w:r>
            <w:r>
              <w:rPr>
                <w:b/>
                <w:spacing w:val="-3"/>
                <w:sz w:val="20"/>
              </w:rPr>
              <w:t> </w:t>
            </w:r>
            <w:r>
              <w:rPr>
                <w:b/>
                <w:spacing w:val="-2"/>
                <w:sz w:val="20"/>
              </w:rPr>
              <w:t>plazo</w:t>
            </w:r>
          </w:p>
        </w:tc>
        <w:tc>
          <w:tcPr>
            <w:tcW w:w="1386" w:type="dxa"/>
          </w:tcPr>
          <w:p>
            <w:pPr>
              <w:pStyle w:val="TableParagraph"/>
              <w:spacing w:before="8"/>
              <w:ind w:left="76"/>
              <w:jc w:val="center"/>
              <w:rPr>
                <w:b/>
                <w:sz w:val="20"/>
              </w:rPr>
            </w:pPr>
            <w:r>
              <w:rPr>
                <w:b/>
                <w:spacing w:val="-10"/>
                <w:sz w:val="20"/>
              </w:rPr>
              <w:t>7</w:t>
            </w:r>
          </w:p>
        </w:tc>
        <w:tc>
          <w:tcPr>
            <w:tcW w:w="1397" w:type="dxa"/>
          </w:tcPr>
          <w:p>
            <w:pPr>
              <w:pStyle w:val="TableParagraph"/>
              <w:spacing w:before="8"/>
              <w:ind w:right="69"/>
              <w:jc w:val="right"/>
              <w:rPr>
                <w:b/>
                <w:sz w:val="20"/>
              </w:rPr>
            </w:pPr>
            <w:r>
              <w:rPr>
                <w:b/>
                <w:spacing w:val="-2"/>
                <w:sz w:val="20"/>
              </w:rPr>
              <w:t>99.985,64</w:t>
            </w:r>
          </w:p>
        </w:tc>
        <w:tc>
          <w:tcPr>
            <w:tcW w:w="1538" w:type="dxa"/>
            <w:gridSpan w:val="2"/>
          </w:tcPr>
          <w:p>
            <w:pPr>
              <w:pStyle w:val="TableParagraph"/>
              <w:spacing w:before="8"/>
              <w:ind w:left="568"/>
              <w:rPr>
                <w:b/>
                <w:sz w:val="20"/>
              </w:rPr>
            </w:pPr>
            <w:r>
              <w:rPr>
                <w:b/>
                <w:spacing w:val="-2"/>
                <w:sz w:val="20"/>
              </w:rPr>
              <w:t>210.078,19</w:t>
            </w:r>
          </w:p>
        </w:tc>
      </w:tr>
      <w:tr>
        <w:trPr>
          <w:trHeight w:val="261" w:hRule="atLeast"/>
        </w:trPr>
        <w:tc>
          <w:tcPr>
            <w:tcW w:w="4624" w:type="dxa"/>
          </w:tcPr>
          <w:p>
            <w:pPr>
              <w:pStyle w:val="TableParagraph"/>
              <w:spacing w:before="11"/>
              <w:ind w:left="50"/>
              <w:rPr>
                <w:b/>
                <w:sz w:val="20"/>
              </w:rPr>
            </w:pPr>
            <w:r>
              <w:rPr>
                <w:b/>
                <w:sz w:val="20"/>
              </w:rPr>
              <w:t>Efectivo</w:t>
            </w:r>
            <w:r>
              <w:rPr>
                <w:b/>
                <w:spacing w:val="-3"/>
                <w:sz w:val="20"/>
              </w:rPr>
              <w:t> </w:t>
            </w:r>
            <w:r>
              <w:rPr>
                <w:b/>
                <w:sz w:val="20"/>
              </w:rPr>
              <w:t>y</w:t>
            </w:r>
            <w:r>
              <w:rPr>
                <w:b/>
                <w:spacing w:val="-5"/>
                <w:sz w:val="20"/>
              </w:rPr>
              <w:t> </w:t>
            </w:r>
            <w:r>
              <w:rPr>
                <w:b/>
                <w:sz w:val="20"/>
              </w:rPr>
              <w:t>otros</w:t>
            </w:r>
            <w:r>
              <w:rPr>
                <w:b/>
                <w:spacing w:val="-4"/>
                <w:sz w:val="20"/>
              </w:rPr>
              <w:t> </w:t>
            </w:r>
            <w:r>
              <w:rPr>
                <w:b/>
                <w:sz w:val="20"/>
              </w:rPr>
              <w:t>activos</w:t>
            </w:r>
            <w:r>
              <w:rPr>
                <w:b/>
                <w:spacing w:val="-3"/>
                <w:sz w:val="20"/>
              </w:rPr>
              <w:t> </w:t>
            </w:r>
            <w:r>
              <w:rPr>
                <w:b/>
                <w:sz w:val="20"/>
              </w:rPr>
              <w:t>líquidos</w:t>
            </w:r>
            <w:r>
              <w:rPr>
                <w:b/>
                <w:spacing w:val="-2"/>
                <w:sz w:val="20"/>
              </w:rPr>
              <w:t> equivalentes</w:t>
            </w:r>
          </w:p>
        </w:tc>
        <w:tc>
          <w:tcPr>
            <w:tcW w:w="1386" w:type="dxa"/>
          </w:tcPr>
          <w:p>
            <w:pPr>
              <w:pStyle w:val="TableParagraph"/>
              <w:rPr>
                <w:sz w:val="18"/>
              </w:rPr>
            </w:pPr>
          </w:p>
        </w:tc>
        <w:tc>
          <w:tcPr>
            <w:tcW w:w="1397" w:type="dxa"/>
            <w:tcBorders>
              <w:bottom w:val="single" w:sz="8" w:space="0" w:color="000000"/>
            </w:tcBorders>
          </w:tcPr>
          <w:p>
            <w:pPr>
              <w:pStyle w:val="TableParagraph"/>
              <w:spacing w:before="11"/>
              <w:ind w:right="68"/>
              <w:jc w:val="right"/>
              <w:rPr>
                <w:b/>
                <w:sz w:val="20"/>
              </w:rPr>
            </w:pPr>
            <w:r>
              <w:rPr>
                <w:b/>
                <w:spacing w:val="-2"/>
                <w:sz w:val="20"/>
              </w:rPr>
              <w:t>182.343.895,43</w:t>
            </w:r>
          </w:p>
        </w:tc>
        <w:tc>
          <w:tcPr>
            <w:tcW w:w="1538" w:type="dxa"/>
            <w:gridSpan w:val="2"/>
            <w:tcBorders>
              <w:bottom w:val="single" w:sz="8" w:space="0" w:color="000000"/>
            </w:tcBorders>
          </w:tcPr>
          <w:p>
            <w:pPr>
              <w:pStyle w:val="TableParagraph"/>
              <w:spacing w:before="11"/>
              <w:ind w:left="219"/>
              <w:rPr>
                <w:b/>
                <w:sz w:val="20"/>
              </w:rPr>
            </w:pPr>
            <w:r>
              <w:rPr>
                <w:b/>
                <w:spacing w:val="-2"/>
                <w:sz w:val="20"/>
              </w:rPr>
              <w:t>115.963.460,48</w:t>
            </w:r>
          </w:p>
        </w:tc>
      </w:tr>
      <w:tr>
        <w:trPr>
          <w:trHeight w:val="269" w:hRule="atLeast"/>
        </w:trPr>
        <w:tc>
          <w:tcPr>
            <w:tcW w:w="4624" w:type="dxa"/>
          </w:tcPr>
          <w:p>
            <w:pPr>
              <w:pStyle w:val="TableParagraph"/>
              <w:spacing w:line="229" w:lineRule="exact" w:before="20"/>
              <w:ind w:left="50"/>
              <w:rPr>
                <w:b/>
                <w:sz w:val="20"/>
              </w:rPr>
            </w:pPr>
            <w:r>
              <w:rPr>
                <w:b/>
                <w:sz w:val="20"/>
              </w:rPr>
              <w:t>TOTAL</w:t>
            </w:r>
            <w:r>
              <w:rPr>
                <w:b/>
                <w:spacing w:val="-2"/>
                <w:sz w:val="20"/>
              </w:rPr>
              <w:t> ACTIVO</w:t>
            </w:r>
          </w:p>
        </w:tc>
        <w:tc>
          <w:tcPr>
            <w:tcW w:w="1386" w:type="dxa"/>
          </w:tcPr>
          <w:p>
            <w:pPr>
              <w:pStyle w:val="TableParagraph"/>
              <w:rPr>
                <w:sz w:val="20"/>
              </w:rPr>
            </w:pPr>
          </w:p>
        </w:tc>
        <w:tc>
          <w:tcPr>
            <w:tcW w:w="1397" w:type="dxa"/>
            <w:tcBorders>
              <w:top w:val="single" w:sz="8" w:space="0" w:color="000000"/>
              <w:bottom w:val="double" w:sz="6" w:space="0" w:color="000000"/>
            </w:tcBorders>
          </w:tcPr>
          <w:p>
            <w:pPr>
              <w:pStyle w:val="TableParagraph"/>
              <w:spacing w:line="229" w:lineRule="exact" w:before="20"/>
              <w:ind w:right="68"/>
              <w:jc w:val="right"/>
              <w:rPr>
                <w:b/>
                <w:sz w:val="20"/>
              </w:rPr>
            </w:pPr>
            <w:r>
              <w:rPr>
                <w:b/>
                <w:spacing w:val="-2"/>
                <w:sz w:val="20"/>
              </w:rPr>
              <w:t>463.448.915,26</w:t>
            </w:r>
          </w:p>
        </w:tc>
        <w:tc>
          <w:tcPr>
            <w:tcW w:w="138" w:type="dxa"/>
          </w:tcPr>
          <w:p>
            <w:pPr>
              <w:pStyle w:val="TableParagraph"/>
              <w:rPr>
                <w:sz w:val="20"/>
              </w:rPr>
            </w:pPr>
          </w:p>
        </w:tc>
        <w:tc>
          <w:tcPr>
            <w:tcW w:w="1400" w:type="dxa"/>
            <w:tcBorders>
              <w:top w:val="single" w:sz="8" w:space="0" w:color="000000"/>
              <w:bottom w:val="double" w:sz="6" w:space="0" w:color="000000"/>
            </w:tcBorders>
          </w:tcPr>
          <w:p>
            <w:pPr>
              <w:pStyle w:val="TableParagraph"/>
              <w:spacing w:line="229" w:lineRule="exact" w:before="20"/>
              <w:ind w:right="66"/>
              <w:jc w:val="right"/>
              <w:rPr>
                <w:b/>
                <w:sz w:val="20"/>
              </w:rPr>
            </w:pPr>
            <w:r>
              <w:rPr>
                <w:b/>
                <w:spacing w:val="-2"/>
                <w:sz w:val="20"/>
              </w:rPr>
              <w:t>363.629.810,03</w:t>
            </w:r>
          </w:p>
        </w:tc>
      </w:tr>
      <w:tr>
        <w:trPr>
          <w:trHeight w:val="1206" w:hRule="atLeast"/>
        </w:trPr>
        <w:tc>
          <w:tcPr>
            <w:tcW w:w="4624" w:type="dxa"/>
          </w:tcPr>
          <w:p>
            <w:pPr>
              <w:pStyle w:val="TableParagraph"/>
              <w:rPr>
                <w:b/>
                <w:sz w:val="20"/>
              </w:rPr>
            </w:pPr>
          </w:p>
          <w:p>
            <w:pPr>
              <w:pStyle w:val="TableParagraph"/>
              <w:rPr>
                <w:b/>
                <w:sz w:val="20"/>
              </w:rPr>
            </w:pPr>
          </w:p>
          <w:p>
            <w:pPr>
              <w:pStyle w:val="TableParagraph"/>
              <w:spacing w:before="66"/>
              <w:rPr>
                <w:b/>
                <w:sz w:val="20"/>
              </w:rPr>
            </w:pPr>
          </w:p>
          <w:p>
            <w:pPr>
              <w:pStyle w:val="TableParagraph"/>
              <w:ind w:left="50"/>
              <w:rPr>
                <w:b/>
                <w:sz w:val="20"/>
              </w:rPr>
            </w:pPr>
            <w:r>
              <w:rPr>
                <w:b/>
                <w:sz w:val="20"/>
              </w:rPr>
              <w:t>PATRIMONIO</w:t>
            </w:r>
            <w:r>
              <w:rPr>
                <w:b/>
                <w:spacing w:val="-3"/>
                <w:sz w:val="20"/>
              </w:rPr>
              <w:t> </w:t>
            </w:r>
            <w:r>
              <w:rPr>
                <w:b/>
                <w:sz w:val="20"/>
              </w:rPr>
              <w:t>NETO</w:t>
            </w:r>
            <w:r>
              <w:rPr>
                <w:b/>
                <w:spacing w:val="-3"/>
                <w:sz w:val="20"/>
              </w:rPr>
              <w:t> </w:t>
            </w:r>
            <w:r>
              <w:rPr>
                <w:b/>
                <w:sz w:val="20"/>
              </w:rPr>
              <w:t>Y</w:t>
            </w:r>
            <w:r>
              <w:rPr>
                <w:b/>
                <w:spacing w:val="-2"/>
                <w:sz w:val="20"/>
              </w:rPr>
              <w:t> PASIVO</w:t>
            </w:r>
          </w:p>
        </w:tc>
        <w:tc>
          <w:tcPr>
            <w:tcW w:w="1386" w:type="dxa"/>
          </w:tcPr>
          <w:p>
            <w:pPr>
              <w:pStyle w:val="TableParagraph"/>
              <w:rPr>
                <w:b/>
                <w:sz w:val="20"/>
              </w:rPr>
            </w:pPr>
          </w:p>
          <w:p>
            <w:pPr>
              <w:pStyle w:val="TableParagraph"/>
              <w:spacing w:before="36"/>
              <w:rPr>
                <w:b/>
                <w:sz w:val="20"/>
              </w:rPr>
            </w:pPr>
          </w:p>
          <w:p>
            <w:pPr>
              <w:pStyle w:val="TableParagraph"/>
              <w:spacing w:line="230" w:lineRule="atLeast"/>
              <w:ind w:left="336" w:right="258" w:hanging="1"/>
              <w:jc w:val="center"/>
              <w:rPr>
                <w:b/>
                <w:sz w:val="20"/>
              </w:rPr>
            </w:pPr>
            <w:r>
              <w:rPr>
                <w:b/>
                <w:sz w:val="20"/>
              </w:rPr>
              <w:t>Notas de </w:t>
            </w:r>
            <w:r>
              <w:rPr>
                <w:b/>
                <w:spacing w:val="-6"/>
                <w:sz w:val="20"/>
              </w:rPr>
              <w:t>la </w:t>
            </w:r>
            <w:r>
              <w:rPr>
                <w:b/>
                <w:spacing w:val="-2"/>
                <w:sz w:val="20"/>
              </w:rPr>
              <w:t>Memoria</w:t>
            </w:r>
          </w:p>
        </w:tc>
        <w:tc>
          <w:tcPr>
            <w:tcW w:w="1397" w:type="dxa"/>
            <w:tcBorders>
              <w:top w:val="double" w:sz="6" w:space="0" w:color="000000"/>
              <w:bottom w:val="single" w:sz="8" w:space="0" w:color="000000"/>
            </w:tcBorders>
          </w:tcPr>
          <w:p>
            <w:pPr>
              <w:pStyle w:val="TableParagraph"/>
              <w:rPr>
                <w:b/>
                <w:sz w:val="20"/>
              </w:rPr>
            </w:pPr>
          </w:p>
          <w:p>
            <w:pPr>
              <w:pStyle w:val="TableParagraph"/>
              <w:spacing w:before="180"/>
              <w:rPr>
                <w:b/>
                <w:sz w:val="20"/>
              </w:rPr>
            </w:pPr>
          </w:p>
          <w:p>
            <w:pPr>
              <w:pStyle w:val="TableParagraph"/>
              <w:spacing w:before="1"/>
              <w:ind w:left="498" w:right="212" w:hanging="83"/>
              <w:rPr>
                <w:b/>
                <w:sz w:val="20"/>
              </w:rPr>
            </w:pPr>
            <w:r>
              <w:rPr>
                <w:b/>
                <w:spacing w:val="-2"/>
                <w:sz w:val="20"/>
              </w:rPr>
              <w:t>Ejercicio </w:t>
            </w:r>
            <w:r>
              <w:rPr>
                <w:b/>
                <w:spacing w:val="-4"/>
                <w:sz w:val="20"/>
              </w:rPr>
              <w:t>2025</w:t>
            </w:r>
          </w:p>
        </w:tc>
        <w:tc>
          <w:tcPr>
            <w:tcW w:w="1538" w:type="dxa"/>
            <w:gridSpan w:val="2"/>
            <w:tcBorders>
              <w:top w:val="double" w:sz="6" w:space="0" w:color="000000"/>
              <w:bottom w:val="single" w:sz="8" w:space="0" w:color="000000"/>
            </w:tcBorders>
          </w:tcPr>
          <w:p>
            <w:pPr>
              <w:pStyle w:val="TableParagraph"/>
              <w:rPr>
                <w:b/>
                <w:sz w:val="20"/>
              </w:rPr>
            </w:pPr>
          </w:p>
          <w:p>
            <w:pPr>
              <w:pStyle w:val="TableParagraph"/>
              <w:spacing w:before="180"/>
              <w:rPr>
                <w:b/>
                <w:sz w:val="20"/>
              </w:rPr>
            </w:pPr>
          </w:p>
          <w:p>
            <w:pPr>
              <w:pStyle w:val="TableParagraph"/>
              <w:spacing w:before="1"/>
              <w:ind w:left="641" w:hanging="83"/>
              <w:rPr>
                <w:b/>
                <w:sz w:val="20"/>
              </w:rPr>
            </w:pPr>
            <w:r>
              <w:rPr>
                <w:b/>
                <w:spacing w:val="-2"/>
                <w:sz w:val="20"/>
              </w:rPr>
              <w:t>Ejercicio </w:t>
            </w:r>
            <w:r>
              <w:rPr>
                <w:b/>
                <w:spacing w:val="-4"/>
                <w:sz w:val="20"/>
              </w:rPr>
              <w:t>2024</w:t>
            </w:r>
          </w:p>
        </w:tc>
      </w:tr>
      <w:tr>
        <w:trPr>
          <w:trHeight w:val="278" w:hRule="atLeast"/>
        </w:trPr>
        <w:tc>
          <w:tcPr>
            <w:tcW w:w="4624" w:type="dxa"/>
          </w:tcPr>
          <w:p>
            <w:pPr>
              <w:pStyle w:val="TableParagraph"/>
              <w:spacing w:line="229" w:lineRule="exact" w:before="30"/>
              <w:ind w:left="50"/>
              <w:rPr>
                <w:b/>
                <w:sz w:val="20"/>
              </w:rPr>
            </w:pPr>
            <w:r>
              <w:rPr>
                <w:b/>
                <w:sz w:val="20"/>
              </w:rPr>
              <w:t>PATRIMONIO</w:t>
            </w:r>
            <w:r>
              <w:rPr>
                <w:b/>
                <w:spacing w:val="-6"/>
                <w:sz w:val="20"/>
              </w:rPr>
              <w:t> </w:t>
            </w:r>
            <w:r>
              <w:rPr>
                <w:b/>
                <w:spacing w:val="-4"/>
                <w:sz w:val="20"/>
              </w:rPr>
              <w:t>NETO</w:t>
            </w:r>
          </w:p>
        </w:tc>
        <w:tc>
          <w:tcPr>
            <w:tcW w:w="1386" w:type="dxa"/>
          </w:tcPr>
          <w:p>
            <w:pPr>
              <w:pStyle w:val="TableParagraph"/>
              <w:rPr>
                <w:sz w:val="20"/>
              </w:rPr>
            </w:pPr>
          </w:p>
        </w:tc>
        <w:tc>
          <w:tcPr>
            <w:tcW w:w="1397" w:type="dxa"/>
            <w:tcBorders>
              <w:top w:val="single" w:sz="8" w:space="0" w:color="000000"/>
              <w:bottom w:val="single" w:sz="8" w:space="0" w:color="000000"/>
            </w:tcBorders>
          </w:tcPr>
          <w:p>
            <w:pPr>
              <w:pStyle w:val="TableParagraph"/>
              <w:spacing w:line="229" w:lineRule="exact" w:before="20"/>
              <w:ind w:right="68"/>
              <w:jc w:val="right"/>
              <w:rPr>
                <w:b/>
                <w:sz w:val="20"/>
              </w:rPr>
            </w:pPr>
            <w:r>
              <w:rPr>
                <w:b/>
                <w:spacing w:val="-2"/>
                <w:sz w:val="20"/>
              </w:rPr>
              <w:t>2.767.237,73</w:t>
            </w:r>
          </w:p>
        </w:tc>
        <w:tc>
          <w:tcPr>
            <w:tcW w:w="138" w:type="dxa"/>
          </w:tcPr>
          <w:p>
            <w:pPr>
              <w:pStyle w:val="TableParagraph"/>
              <w:rPr>
                <w:sz w:val="20"/>
              </w:rPr>
            </w:pPr>
          </w:p>
        </w:tc>
        <w:tc>
          <w:tcPr>
            <w:tcW w:w="1400" w:type="dxa"/>
            <w:tcBorders>
              <w:top w:val="single" w:sz="8" w:space="0" w:color="000000"/>
              <w:bottom w:val="single" w:sz="8" w:space="0" w:color="000000"/>
            </w:tcBorders>
          </w:tcPr>
          <w:p>
            <w:pPr>
              <w:pStyle w:val="TableParagraph"/>
              <w:spacing w:line="229" w:lineRule="exact" w:before="20"/>
              <w:ind w:right="66"/>
              <w:jc w:val="right"/>
              <w:rPr>
                <w:b/>
                <w:sz w:val="20"/>
              </w:rPr>
            </w:pPr>
            <w:r>
              <w:rPr>
                <w:b/>
                <w:spacing w:val="-2"/>
                <w:sz w:val="20"/>
              </w:rPr>
              <w:t>2.241.834,61</w:t>
            </w:r>
          </w:p>
        </w:tc>
      </w:tr>
      <w:tr>
        <w:trPr>
          <w:trHeight w:val="260" w:hRule="atLeast"/>
        </w:trPr>
        <w:tc>
          <w:tcPr>
            <w:tcW w:w="4624" w:type="dxa"/>
          </w:tcPr>
          <w:p>
            <w:pPr>
              <w:pStyle w:val="TableParagraph"/>
              <w:spacing w:line="227" w:lineRule="exact" w:before="13"/>
              <w:ind w:left="50"/>
              <w:rPr>
                <w:b/>
                <w:sz w:val="20"/>
              </w:rPr>
            </w:pPr>
            <w:r>
              <w:rPr>
                <w:b/>
                <w:sz w:val="20"/>
              </w:rPr>
              <w:t>Fondos</w:t>
            </w:r>
            <w:r>
              <w:rPr>
                <w:b/>
                <w:spacing w:val="-5"/>
                <w:sz w:val="20"/>
              </w:rPr>
              <w:t> </w:t>
            </w:r>
            <w:r>
              <w:rPr>
                <w:b/>
                <w:spacing w:val="-2"/>
                <w:sz w:val="20"/>
              </w:rPr>
              <w:t>propios</w:t>
            </w:r>
          </w:p>
        </w:tc>
        <w:tc>
          <w:tcPr>
            <w:tcW w:w="1386" w:type="dxa"/>
          </w:tcPr>
          <w:p>
            <w:pPr>
              <w:pStyle w:val="TableParagraph"/>
              <w:spacing w:line="227" w:lineRule="exact" w:before="13"/>
              <w:ind w:left="76"/>
              <w:jc w:val="center"/>
              <w:rPr>
                <w:b/>
                <w:sz w:val="20"/>
              </w:rPr>
            </w:pPr>
            <w:r>
              <w:rPr>
                <w:b/>
                <w:spacing w:val="-5"/>
                <w:sz w:val="20"/>
              </w:rPr>
              <w:t>11</w:t>
            </w:r>
          </w:p>
        </w:tc>
        <w:tc>
          <w:tcPr>
            <w:tcW w:w="1397" w:type="dxa"/>
            <w:tcBorders>
              <w:top w:val="single" w:sz="8" w:space="0" w:color="000000"/>
            </w:tcBorders>
          </w:tcPr>
          <w:p>
            <w:pPr>
              <w:pStyle w:val="TableParagraph"/>
              <w:spacing w:line="227" w:lineRule="exact" w:before="13"/>
              <w:ind w:right="68"/>
              <w:jc w:val="right"/>
              <w:rPr>
                <w:b/>
                <w:sz w:val="20"/>
              </w:rPr>
            </w:pPr>
            <w:r>
              <w:rPr>
                <w:b/>
                <w:spacing w:val="-2"/>
                <w:sz w:val="20"/>
              </w:rPr>
              <w:t>2.767.237,73</w:t>
            </w:r>
          </w:p>
        </w:tc>
        <w:tc>
          <w:tcPr>
            <w:tcW w:w="138" w:type="dxa"/>
          </w:tcPr>
          <w:p>
            <w:pPr>
              <w:pStyle w:val="TableParagraph"/>
              <w:rPr>
                <w:sz w:val="18"/>
              </w:rPr>
            </w:pPr>
          </w:p>
        </w:tc>
        <w:tc>
          <w:tcPr>
            <w:tcW w:w="1400" w:type="dxa"/>
            <w:tcBorders>
              <w:top w:val="single" w:sz="8" w:space="0" w:color="000000"/>
            </w:tcBorders>
          </w:tcPr>
          <w:p>
            <w:pPr>
              <w:pStyle w:val="TableParagraph"/>
              <w:spacing w:line="227" w:lineRule="exact" w:before="13"/>
              <w:ind w:right="66"/>
              <w:jc w:val="right"/>
              <w:rPr>
                <w:b/>
                <w:sz w:val="20"/>
              </w:rPr>
            </w:pPr>
            <w:r>
              <w:rPr>
                <w:b/>
                <w:spacing w:val="-2"/>
                <w:sz w:val="20"/>
              </w:rPr>
              <w:t>2.241.834,61</w:t>
            </w:r>
          </w:p>
        </w:tc>
      </w:tr>
      <w:tr>
        <w:trPr>
          <w:trHeight w:val="255" w:hRule="atLeast"/>
        </w:trPr>
        <w:tc>
          <w:tcPr>
            <w:tcW w:w="4624" w:type="dxa"/>
          </w:tcPr>
          <w:p>
            <w:pPr>
              <w:pStyle w:val="TableParagraph"/>
              <w:spacing w:line="226" w:lineRule="exact" w:before="8"/>
              <w:ind w:left="50"/>
              <w:rPr>
                <w:b/>
                <w:sz w:val="20"/>
              </w:rPr>
            </w:pPr>
            <w:r>
              <w:rPr>
                <w:b/>
                <w:spacing w:val="-2"/>
                <w:sz w:val="20"/>
              </w:rPr>
              <w:t>Capital</w:t>
            </w:r>
          </w:p>
        </w:tc>
        <w:tc>
          <w:tcPr>
            <w:tcW w:w="1386" w:type="dxa"/>
          </w:tcPr>
          <w:p>
            <w:pPr>
              <w:pStyle w:val="TableParagraph"/>
              <w:rPr>
                <w:sz w:val="18"/>
              </w:rPr>
            </w:pPr>
          </w:p>
        </w:tc>
        <w:tc>
          <w:tcPr>
            <w:tcW w:w="1397" w:type="dxa"/>
          </w:tcPr>
          <w:p>
            <w:pPr>
              <w:pStyle w:val="TableParagraph"/>
              <w:spacing w:line="226" w:lineRule="exact" w:before="8"/>
              <w:ind w:right="68"/>
              <w:jc w:val="right"/>
              <w:rPr>
                <w:b/>
                <w:sz w:val="20"/>
              </w:rPr>
            </w:pPr>
            <w:r>
              <w:rPr>
                <w:b/>
                <w:spacing w:val="-2"/>
                <w:sz w:val="20"/>
              </w:rPr>
              <w:t>600.000,00</w:t>
            </w:r>
          </w:p>
        </w:tc>
        <w:tc>
          <w:tcPr>
            <w:tcW w:w="1538" w:type="dxa"/>
            <w:gridSpan w:val="2"/>
          </w:tcPr>
          <w:p>
            <w:pPr>
              <w:pStyle w:val="TableParagraph"/>
              <w:spacing w:line="226" w:lineRule="exact" w:before="8"/>
              <w:ind w:left="568"/>
              <w:rPr>
                <w:b/>
                <w:sz w:val="20"/>
              </w:rPr>
            </w:pPr>
            <w:r>
              <w:rPr>
                <w:b/>
                <w:spacing w:val="-2"/>
                <w:sz w:val="20"/>
              </w:rPr>
              <w:t>600.000,00</w:t>
            </w:r>
          </w:p>
        </w:tc>
      </w:tr>
      <w:tr>
        <w:trPr>
          <w:trHeight w:val="255" w:hRule="atLeast"/>
        </w:trPr>
        <w:tc>
          <w:tcPr>
            <w:tcW w:w="4624" w:type="dxa"/>
          </w:tcPr>
          <w:p>
            <w:pPr>
              <w:pStyle w:val="TableParagraph"/>
              <w:spacing w:line="227" w:lineRule="exact" w:before="8"/>
              <w:ind w:left="250"/>
              <w:rPr>
                <w:sz w:val="20"/>
              </w:rPr>
            </w:pPr>
            <w:r>
              <w:rPr>
                <w:sz w:val="20"/>
              </w:rPr>
              <w:t>Capital</w:t>
            </w:r>
            <w:r>
              <w:rPr>
                <w:spacing w:val="-5"/>
                <w:sz w:val="20"/>
              </w:rPr>
              <w:t> </w:t>
            </w:r>
            <w:r>
              <w:rPr>
                <w:spacing w:val="-2"/>
                <w:sz w:val="20"/>
              </w:rPr>
              <w:t>escriturado</w:t>
            </w:r>
          </w:p>
        </w:tc>
        <w:tc>
          <w:tcPr>
            <w:tcW w:w="1386" w:type="dxa"/>
          </w:tcPr>
          <w:p>
            <w:pPr>
              <w:pStyle w:val="TableParagraph"/>
              <w:rPr>
                <w:sz w:val="18"/>
              </w:rPr>
            </w:pPr>
          </w:p>
        </w:tc>
        <w:tc>
          <w:tcPr>
            <w:tcW w:w="1397" w:type="dxa"/>
          </w:tcPr>
          <w:p>
            <w:pPr>
              <w:pStyle w:val="TableParagraph"/>
              <w:spacing w:line="227" w:lineRule="exact" w:before="8"/>
              <w:ind w:right="68"/>
              <w:jc w:val="right"/>
              <w:rPr>
                <w:sz w:val="20"/>
              </w:rPr>
            </w:pPr>
            <w:r>
              <w:rPr>
                <w:spacing w:val="-2"/>
                <w:sz w:val="20"/>
              </w:rPr>
              <w:t>600.000,00</w:t>
            </w:r>
          </w:p>
        </w:tc>
        <w:tc>
          <w:tcPr>
            <w:tcW w:w="1538" w:type="dxa"/>
            <w:gridSpan w:val="2"/>
          </w:tcPr>
          <w:p>
            <w:pPr>
              <w:pStyle w:val="TableParagraph"/>
              <w:spacing w:line="227" w:lineRule="exact" w:before="8"/>
              <w:ind w:left="568"/>
              <w:rPr>
                <w:sz w:val="20"/>
              </w:rPr>
            </w:pPr>
            <w:r>
              <w:rPr>
                <w:spacing w:val="-2"/>
                <w:sz w:val="20"/>
              </w:rPr>
              <w:t>600.000,00</w:t>
            </w:r>
          </w:p>
        </w:tc>
      </w:tr>
      <w:tr>
        <w:trPr>
          <w:trHeight w:val="255" w:hRule="atLeast"/>
        </w:trPr>
        <w:tc>
          <w:tcPr>
            <w:tcW w:w="4624" w:type="dxa"/>
          </w:tcPr>
          <w:p>
            <w:pPr>
              <w:pStyle w:val="TableParagraph"/>
              <w:spacing w:line="226" w:lineRule="exact" w:before="8"/>
              <w:ind w:left="50"/>
              <w:rPr>
                <w:b/>
                <w:sz w:val="20"/>
              </w:rPr>
            </w:pPr>
            <w:r>
              <w:rPr>
                <w:b/>
                <w:spacing w:val="-2"/>
                <w:sz w:val="20"/>
              </w:rPr>
              <w:t>Reservas</w:t>
            </w:r>
          </w:p>
        </w:tc>
        <w:tc>
          <w:tcPr>
            <w:tcW w:w="1386" w:type="dxa"/>
          </w:tcPr>
          <w:p>
            <w:pPr>
              <w:pStyle w:val="TableParagraph"/>
              <w:rPr>
                <w:sz w:val="18"/>
              </w:rPr>
            </w:pPr>
          </w:p>
        </w:tc>
        <w:tc>
          <w:tcPr>
            <w:tcW w:w="1397" w:type="dxa"/>
          </w:tcPr>
          <w:p>
            <w:pPr>
              <w:pStyle w:val="TableParagraph"/>
              <w:spacing w:line="226" w:lineRule="exact" w:before="8"/>
              <w:ind w:right="68"/>
              <w:jc w:val="right"/>
              <w:rPr>
                <w:b/>
                <w:sz w:val="20"/>
              </w:rPr>
            </w:pPr>
            <w:r>
              <w:rPr>
                <w:b/>
                <w:spacing w:val="-2"/>
                <w:sz w:val="20"/>
              </w:rPr>
              <w:t>1.641.834,61</w:t>
            </w:r>
          </w:p>
        </w:tc>
        <w:tc>
          <w:tcPr>
            <w:tcW w:w="1538" w:type="dxa"/>
            <w:gridSpan w:val="2"/>
          </w:tcPr>
          <w:p>
            <w:pPr>
              <w:pStyle w:val="TableParagraph"/>
              <w:spacing w:line="226" w:lineRule="exact" w:before="8"/>
              <w:ind w:left="568"/>
              <w:rPr>
                <w:b/>
                <w:sz w:val="20"/>
              </w:rPr>
            </w:pPr>
            <w:r>
              <w:rPr>
                <w:b/>
                <w:spacing w:val="-2"/>
                <w:sz w:val="20"/>
              </w:rPr>
              <w:t>591.797,26</w:t>
            </w:r>
          </w:p>
        </w:tc>
      </w:tr>
      <w:tr>
        <w:trPr>
          <w:trHeight w:val="255" w:hRule="atLeast"/>
        </w:trPr>
        <w:tc>
          <w:tcPr>
            <w:tcW w:w="4624" w:type="dxa"/>
          </w:tcPr>
          <w:p>
            <w:pPr>
              <w:pStyle w:val="TableParagraph"/>
              <w:spacing w:line="227" w:lineRule="exact" w:before="8"/>
              <w:ind w:left="250"/>
              <w:rPr>
                <w:sz w:val="20"/>
              </w:rPr>
            </w:pPr>
            <w:r>
              <w:rPr>
                <w:sz w:val="20"/>
              </w:rPr>
              <w:t>Reserva</w:t>
            </w:r>
            <w:r>
              <w:rPr>
                <w:spacing w:val="-3"/>
                <w:sz w:val="20"/>
              </w:rPr>
              <w:t> </w:t>
            </w:r>
            <w:r>
              <w:rPr>
                <w:sz w:val="20"/>
              </w:rPr>
              <w:t>de</w:t>
            </w:r>
            <w:r>
              <w:rPr>
                <w:spacing w:val="-2"/>
                <w:sz w:val="20"/>
              </w:rPr>
              <w:t> capitalización</w:t>
            </w:r>
          </w:p>
        </w:tc>
        <w:tc>
          <w:tcPr>
            <w:tcW w:w="1386" w:type="dxa"/>
          </w:tcPr>
          <w:p>
            <w:pPr>
              <w:pStyle w:val="TableParagraph"/>
              <w:rPr>
                <w:sz w:val="18"/>
              </w:rPr>
            </w:pPr>
          </w:p>
        </w:tc>
        <w:tc>
          <w:tcPr>
            <w:tcW w:w="1397" w:type="dxa"/>
          </w:tcPr>
          <w:p>
            <w:pPr>
              <w:pStyle w:val="TableParagraph"/>
              <w:spacing w:line="227" w:lineRule="exact" w:before="8"/>
              <w:ind w:right="69"/>
              <w:jc w:val="right"/>
              <w:rPr>
                <w:sz w:val="20"/>
              </w:rPr>
            </w:pPr>
            <w:r>
              <w:rPr>
                <w:spacing w:val="-2"/>
                <w:sz w:val="20"/>
              </w:rPr>
              <w:t>77.098,05</w:t>
            </w:r>
          </w:p>
        </w:tc>
        <w:tc>
          <w:tcPr>
            <w:tcW w:w="1538" w:type="dxa"/>
            <w:gridSpan w:val="2"/>
          </w:tcPr>
          <w:p>
            <w:pPr>
              <w:pStyle w:val="TableParagraph"/>
              <w:spacing w:line="227" w:lineRule="exact" w:before="8"/>
              <w:ind w:left="919"/>
              <w:rPr>
                <w:sz w:val="20"/>
              </w:rPr>
            </w:pPr>
            <w:r>
              <w:rPr>
                <w:spacing w:val="-2"/>
                <w:sz w:val="20"/>
              </w:rPr>
              <w:t>523,70</w:t>
            </w:r>
          </w:p>
        </w:tc>
      </w:tr>
      <w:tr>
        <w:trPr>
          <w:trHeight w:val="258" w:hRule="atLeast"/>
        </w:trPr>
        <w:tc>
          <w:tcPr>
            <w:tcW w:w="4624" w:type="dxa"/>
          </w:tcPr>
          <w:p>
            <w:pPr>
              <w:pStyle w:val="TableParagraph"/>
              <w:spacing w:before="8"/>
              <w:ind w:left="250"/>
              <w:rPr>
                <w:sz w:val="20"/>
              </w:rPr>
            </w:pPr>
            <w:r>
              <w:rPr>
                <w:sz w:val="20"/>
              </w:rPr>
              <w:t>Otras</w:t>
            </w:r>
            <w:r>
              <w:rPr>
                <w:spacing w:val="-4"/>
                <w:sz w:val="20"/>
              </w:rPr>
              <w:t> </w:t>
            </w:r>
            <w:r>
              <w:rPr>
                <w:spacing w:val="-2"/>
                <w:sz w:val="20"/>
              </w:rPr>
              <w:t>reservas</w:t>
            </w:r>
          </w:p>
        </w:tc>
        <w:tc>
          <w:tcPr>
            <w:tcW w:w="1386" w:type="dxa"/>
          </w:tcPr>
          <w:p>
            <w:pPr>
              <w:pStyle w:val="TableParagraph"/>
              <w:rPr>
                <w:sz w:val="18"/>
              </w:rPr>
            </w:pPr>
          </w:p>
        </w:tc>
        <w:tc>
          <w:tcPr>
            <w:tcW w:w="1397" w:type="dxa"/>
          </w:tcPr>
          <w:p>
            <w:pPr>
              <w:pStyle w:val="TableParagraph"/>
              <w:spacing w:before="8"/>
              <w:ind w:right="68"/>
              <w:jc w:val="right"/>
              <w:rPr>
                <w:sz w:val="20"/>
              </w:rPr>
            </w:pPr>
            <w:r>
              <w:rPr>
                <w:spacing w:val="-2"/>
                <w:sz w:val="20"/>
              </w:rPr>
              <w:t>1.564.736,56</w:t>
            </w:r>
          </w:p>
        </w:tc>
        <w:tc>
          <w:tcPr>
            <w:tcW w:w="1538" w:type="dxa"/>
            <w:gridSpan w:val="2"/>
          </w:tcPr>
          <w:p>
            <w:pPr>
              <w:pStyle w:val="TableParagraph"/>
              <w:spacing w:before="8"/>
              <w:ind w:left="568"/>
              <w:rPr>
                <w:sz w:val="20"/>
              </w:rPr>
            </w:pPr>
            <w:r>
              <w:rPr>
                <w:spacing w:val="-2"/>
                <w:sz w:val="20"/>
              </w:rPr>
              <w:t>591.273,56</w:t>
            </w:r>
          </w:p>
        </w:tc>
      </w:tr>
      <w:tr>
        <w:trPr>
          <w:trHeight w:val="261" w:hRule="atLeast"/>
        </w:trPr>
        <w:tc>
          <w:tcPr>
            <w:tcW w:w="4624" w:type="dxa"/>
          </w:tcPr>
          <w:p>
            <w:pPr>
              <w:pStyle w:val="TableParagraph"/>
              <w:spacing w:before="11"/>
              <w:ind w:left="50"/>
              <w:rPr>
                <w:b/>
                <w:sz w:val="20"/>
              </w:rPr>
            </w:pPr>
            <w:r>
              <w:rPr>
                <w:b/>
                <w:sz w:val="20"/>
              </w:rPr>
              <w:t>Resultado</w:t>
            </w:r>
            <w:r>
              <w:rPr>
                <w:b/>
                <w:spacing w:val="-2"/>
                <w:sz w:val="20"/>
              </w:rPr>
              <w:t> </w:t>
            </w:r>
            <w:r>
              <w:rPr>
                <w:b/>
                <w:sz w:val="20"/>
              </w:rPr>
              <w:t>del</w:t>
            </w:r>
            <w:r>
              <w:rPr>
                <w:b/>
                <w:spacing w:val="-2"/>
                <w:sz w:val="20"/>
              </w:rPr>
              <w:t> ejercicio</w:t>
            </w:r>
          </w:p>
        </w:tc>
        <w:tc>
          <w:tcPr>
            <w:tcW w:w="1386" w:type="dxa"/>
          </w:tcPr>
          <w:p>
            <w:pPr>
              <w:pStyle w:val="TableParagraph"/>
              <w:rPr>
                <w:sz w:val="18"/>
              </w:rPr>
            </w:pPr>
          </w:p>
        </w:tc>
        <w:tc>
          <w:tcPr>
            <w:tcW w:w="1397" w:type="dxa"/>
            <w:tcBorders>
              <w:bottom w:val="single" w:sz="8" w:space="0" w:color="000000"/>
            </w:tcBorders>
          </w:tcPr>
          <w:p>
            <w:pPr>
              <w:pStyle w:val="TableParagraph"/>
              <w:spacing w:before="11"/>
              <w:ind w:right="68"/>
              <w:jc w:val="right"/>
              <w:rPr>
                <w:b/>
                <w:sz w:val="20"/>
              </w:rPr>
            </w:pPr>
            <w:r>
              <w:rPr>
                <w:b/>
                <w:spacing w:val="-2"/>
                <w:sz w:val="20"/>
              </w:rPr>
              <w:t>525.403,12</w:t>
            </w:r>
          </w:p>
        </w:tc>
        <w:tc>
          <w:tcPr>
            <w:tcW w:w="1538" w:type="dxa"/>
            <w:gridSpan w:val="2"/>
            <w:tcBorders>
              <w:bottom w:val="single" w:sz="8" w:space="0" w:color="000000"/>
            </w:tcBorders>
          </w:tcPr>
          <w:p>
            <w:pPr>
              <w:pStyle w:val="TableParagraph"/>
              <w:spacing w:before="11"/>
              <w:ind w:left="418"/>
              <w:rPr>
                <w:b/>
                <w:sz w:val="20"/>
              </w:rPr>
            </w:pPr>
            <w:r>
              <w:rPr>
                <w:b/>
                <w:spacing w:val="-2"/>
                <w:sz w:val="20"/>
              </w:rPr>
              <w:t>1.050.037,35</w:t>
            </w:r>
          </w:p>
        </w:tc>
      </w:tr>
      <w:tr>
        <w:trPr>
          <w:trHeight w:val="270" w:hRule="atLeast"/>
        </w:trPr>
        <w:tc>
          <w:tcPr>
            <w:tcW w:w="4624" w:type="dxa"/>
          </w:tcPr>
          <w:p>
            <w:pPr>
              <w:pStyle w:val="TableParagraph"/>
              <w:spacing w:before="20"/>
              <w:ind w:left="50"/>
              <w:rPr>
                <w:b/>
                <w:sz w:val="20"/>
              </w:rPr>
            </w:pPr>
            <w:r>
              <w:rPr>
                <w:b/>
                <w:sz w:val="20"/>
              </w:rPr>
              <w:t>PASIVO</w:t>
            </w:r>
            <w:r>
              <w:rPr>
                <w:b/>
                <w:spacing w:val="-4"/>
                <w:sz w:val="20"/>
              </w:rPr>
              <w:t> </w:t>
            </w:r>
            <w:r>
              <w:rPr>
                <w:b/>
                <w:sz w:val="20"/>
              </w:rPr>
              <w:t>NO</w:t>
            </w:r>
            <w:r>
              <w:rPr>
                <w:b/>
                <w:spacing w:val="-3"/>
                <w:sz w:val="20"/>
              </w:rPr>
              <w:t> </w:t>
            </w:r>
            <w:r>
              <w:rPr>
                <w:b/>
                <w:spacing w:val="-2"/>
                <w:sz w:val="20"/>
              </w:rPr>
              <w:t>CORRIENTE</w:t>
            </w:r>
          </w:p>
        </w:tc>
        <w:tc>
          <w:tcPr>
            <w:tcW w:w="1386" w:type="dxa"/>
          </w:tcPr>
          <w:p>
            <w:pPr>
              <w:pStyle w:val="TableParagraph"/>
              <w:rPr>
                <w:sz w:val="20"/>
              </w:rPr>
            </w:pPr>
          </w:p>
        </w:tc>
        <w:tc>
          <w:tcPr>
            <w:tcW w:w="1397" w:type="dxa"/>
            <w:tcBorders>
              <w:top w:val="single" w:sz="8" w:space="0" w:color="000000"/>
              <w:bottom w:val="single" w:sz="8" w:space="0" w:color="000000"/>
            </w:tcBorders>
          </w:tcPr>
          <w:p>
            <w:pPr>
              <w:pStyle w:val="TableParagraph"/>
              <w:spacing w:before="20"/>
              <w:ind w:right="68"/>
              <w:jc w:val="right"/>
              <w:rPr>
                <w:b/>
                <w:sz w:val="20"/>
              </w:rPr>
            </w:pPr>
            <w:r>
              <w:rPr>
                <w:b/>
                <w:spacing w:val="-2"/>
                <w:sz w:val="20"/>
              </w:rPr>
              <w:t>459.707.065,00</w:t>
            </w:r>
          </w:p>
        </w:tc>
        <w:tc>
          <w:tcPr>
            <w:tcW w:w="138" w:type="dxa"/>
          </w:tcPr>
          <w:p>
            <w:pPr>
              <w:pStyle w:val="TableParagraph"/>
              <w:rPr>
                <w:sz w:val="20"/>
              </w:rPr>
            </w:pPr>
          </w:p>
        </w:tc>
        <w:tc>
          <w:tcPr>
            <w:tcW w:w="1400" w:type="dxa"/>
            <w:tcBorders>
              <w:top w:val="single" w:sz="8" w:space="0" w:color="000000"/>
              <w:bottom w:val="single" w:sz="8" w:space="0" w:color="000000"/>
            </w:tcBorders>
          </w:tcPr>
          <w:p>
            <w:pPr>
              <w:pStyle w:val="TableParagraph"/>
              <w:spacing w:before="20"/>
              <w:ind w:right="66"/>
              <w:jc w:val="right"/>
              <w:rPr>
                <w:b/>
                <w:sz w:val="20"/>
              </w:rPr>
            </w:pPr>
            <w:r>
              <w:rPr>
                <w:b/>
                <w:spacing w:val="-2"/>
                <w:sz w:val="20"/>
              </w:rPr>
              <w:t>358.646.576,00</w:t>
            </w:r>
          </w:p>
        </w:tc>
      </w:tr>
      <w:tr>
        <w:trPr>
          <w:trHeight w:val="460" w:hRule="atLeast"/>
        </w:trPr>
        <w:tc>
          <w:tcPr>
            <w:tcW w:w="4624" w:type="dxa"/>
          </w:tcPr>
          <w:p>
            <w:pPr>
              <w:pStyle w:val="TableParagraph"/>
              <w:spacing w:line="230" w:lineRule="exact"/>
              <w:ind w:left="50"/>
              <w:rPr>
                <w:b/>
                <w:sz w:val="20"/>
              </w:rPr>
            </w:pPr>
            <w:r>
              <w:rPr>
                <w:b/>
                <w:sz w:val="20"/>
              </w:rPr>
              <w:t>Deudas</w:t>
            </w:r>
            <w:r>
              <w:rPr>
                <w:b/>
                <w:spacing w:val="-5"/>
                <w:sz w:val="20"/>
              </w:rPr>
              <w:t> </w:t>
            </w:r>
            <w:r>
              <w:rPr>
                <w:b/>
                <w:sz w:val="20"/>
              </w:rPr>
              <w:t>con</w:t>
            </w:r>
            <w:r>
              <w:rPr>
                <w:b/>
                <w:spacing w:val="-5"/>
                <w:sz w:val="20"/>
              </w:rPr>
              <w:t> </w:t>
            </w:r>
            <w:r>
              <w:rPr>
                <w:b/>
                <w:sz w:val="20"/>
              </w:rPr>
              <w:t>empresas</w:t>
            </w:r>
            <w:r>
              <w:rPr>
                <w:b/>
                <w:spacing w:val="-6"/>
                <w:sz w:val="20"/>
              </w:rPr>
              <w:t> </w:t>
            </w:r>
            <w:r>
              <w:rPr>
                <w:b/>
                <w:sz w:val="20"/>
              </w:rPr>
              <w:t>del</w:t>
            </w:r>
            <w:r>
              <w:rPr>
                <w:b/>
                <w:spacing w:val="-7"/>
                <w:sz w:val="20"/>
              </w:rPr>
              <w:t> </w:t>
            </w:r>
            <w:r>
              <w:rPr>
                <w:b/>
                <w:sz w:val="20"/>
              </w:rPr>
              <w:t>grupo</w:t>
            </w:r>
            <w:r>
              <w:rPr>
                <w:b/>
                <w:spacing w:val="-5"/>
                <w:sz w:val="20"/>
              </w:rPr>
              <w:t> </w:t>
            </w:r>
            <w:r>
              <w:rPr>
                <w:b/>
                <w:sz w:val="20"/>
              </w:rPr>
              <w:t>y</w:t>
            </w:r>
            <w:r>
              <w:rPr>
                <w:b/>
                <w:spacing w:val="-5"/>
                <w:sz w:val="20"/>
              </w:rPr>
              <w:t> </w:t>
            </w:r>
            <w:r>
              <w:rPr>
                <w:b/>
                <w:sz w:val="20"/>
              </w:rPr>
              <w:t>asociadas</w:t>
            </w:r>
            <w:r>
              <w:rPr>
                <w:b/>
                <w:spacing w:val="-6"/>
                <w:sz w:val="20"/>
              </w:rPr>
              <w:t> </w:t>
            </w:r>
            <w:r>
              <w:rPr>
                <w:b/>
                <w:sz w:val="20"/>
              </w:rPr>
              <w:t>a</w:t>
            </w:r>
            <w:r>
              <w:rPr>
                <w:b/>
                <w:spacing w:val="-5"/>
                <w:sz w:val="20"/>
              </w:rPr>
              <w:t> </w:t>
            </w:r>
            <w:r>
              <w:rPr>
                <w:b/>
                <w:sz w:val="20"/>
              </w:rPr>
              <w:t>largo </w:t>
            </w:r>
            <w:r>
              <w:rPr>
                <w:b/>
                <w:spacing w:val="-2"/>
                <w:sz w:val="20"/>
              </w:rPr>
              <w:t>plazo</w:t>
            </w:r>
          </w:p>
        </w:tc>
        <w:tc>
          <w:tcPr>
            <w:tcW w:w="1386" w:type="dxa"/>
          </w:tcPr>
          <w:p>
            <w:pPr>
              <w:pStyle w:val="TableParagraph"/>
              <w:spacing w:before="115"/>
              <w:ind w:left="76"/>
              <w:jc w:val="center"/>
              <w:rPr>
                <w:b/>
                <w:sz w:val="20"/>
              </w:rPr>
            </w:pPr>
            <w:r>
              <w:rPr>
                <w:b/>
                <w:sz w:val="20"/>
              </w:rPr>
              <w:t>8, </w:t>
            </w:r>
            <w:r>
              <w:rPr>
                <w:b/>
                <w:spacing w:val="-5"/>
                <w:sz w:val="20"/>
              </w:rPr>
              <w:t>14</w:t>
            </w:r>
          </w:p>
        </w:tc>
        <w:tc>
          <w:tcPr>
            <w:tcW w:w="1397" w:type="dxa"/>
            <w:tcBorders>
              <w:top w:val="single" w:sz="8" w:space="0" w:color="000000"/>
              <w:bottom w:val="single" w:sz="8" w:space="0" w:color="000000"/>
            </w:tcBorders>
          </w:tcPr>
          <w:p>
            <w:pPr>
              <w:pStyle w:val="TableParagraph"/>
              <w:spacing w:before="115"/>
              <w:ind w:right="68"/>
              <w:jc w:val="right"/>
              <w:rPr>
                <w:b/>
                <w:sz w:val="20"/>
              </w:rPr>
            </w:pPr>
            <w:r>
              <w:rPr>
                <w:b/>
                <w:spacing w:val="-2"/>
                <w:sz w:val="20"/>
              </w:rPr>
              <w:t>459.707.065,00</w:t>
            </w:r>
          </w:p>
        </w:tc>
        <w:tc>
          <w:tcPr>
            <w:tcW w:w="138" w:type="dxa"/>
          </w:tcPr>
          <w:p>
            <w:pPr>
              <w:pStyle w:val="TableParagraph"/>
              <w:rPr>
                <w:sz w:val="20"/>
              </w:rPr>
            </w:pPr>
          </w:p>
        </w:tc>
        <w:tc>
          <w:tcPr>
            <w:tcW w:w="1400" w:type="dxa"/>
            <w:tcBorders>
              <w:top w:val="single" w:sz="8" w:space="0" w:color="000000"/>
              <w:bottom w:val="single" w:sz="8" w:space="0" w:color="000000"/>
            </w:tcBorders>
          </w:tcPr>
          <w:p>
            <w:pPr>
              <w:pStyle w:val="TableParagraph"/>
              <w:spacing w:before="115"/>
              <w:ind w:right="66"/>
              <w:jc w:val="right"/>
              <w:rPr>
                <w:b/>
                <w:sz w:val="20"/>
              </w:rPr>
            </w:pPr>
            <w:r>
              <w:rPr>
                <w:b/>
                <w:spacing w:val="-2"/>
                <w:sz w:val="20"/>
              </w:rPr>
              <w:t>358.646.576,00</w:t>
            </w:r>
          </w:p>
        </w:tc>
      </w:tr>
      <w:tr>
        <w:trPr>
          <w:trHeight w:val="269" w:hRule="atLeast"/>
        </w:trPr>
        <w:tc>
          <w:tcPr>
            <w:tcW w:w="4624" w:type="dxa"/>
          </w:tcPr>
          <w:p>
            <w:pPr>
              <w:pStyle w:val="TableParagraph"/>
              <w:spacing w:line="229" w:lineRule="exact" w:before="20"/>
              <w:ind w:left="50"/>
              <w:rPr>
                <w:b/>
                <w:sz w:val="20"/>
              </w:rPr>
            </w:pPr>
            <w:r>
              <w:rPr>
                <w:b/>
                <w:sz w:val="20"/>
              </w:rPr>
              <w:t>PASIVO</w:t>
            </w:r>
            <w:r>
              <w:rPr>
                <w:b/>
                <w:spacing w:val="-4"/>
                <w:sz w:val="20"/>
              </w:rPr>
              <w:t> </w:t>
            </w:r>
            <w:r>
              <w:rPr>
                <w:b/>
                <w:spacing w:val="-2"/>
                <w:sz w:val="20"/>
              </w:rPr>
              <w:t>CORRIENTE</w:t>
            </w:r>
          </w:p>
        </w:tc>
        <w:tc>
          <w:tcPr>
            <w:tcW w:w="1386" w:type="dxa"/>
          </w:tcPr>
          <w:p>
            <w:pPr>
              <w:pStyle w:val="TableParagraph"/>
              <w:rPr>
                <w:sz w:val="18"/>
              </w:rPr>
            </w:pPr>
          </w:p>
        </w:tc>
        <w:tc>
          <w:tcPr>
            <w:tcW w:w="1397" w:type="dxa"/>
            <w:tcBorders>
              <w:top w:val="single" w:sz="8" w:space="0" w:color="000000"/>
              <w:bottom w:val="single" w:sz="8" w:space="0" w:color="000000"/>
            </w:tcBorders>
          </w:tcPr>
          <w:p>
            <w:pPr>
              <w:pStyle w:val="TableParagraph"/>
              <w:spacing w:line="229" w:lineRule="exact" w:before="20"/>
              <w:ind w:right="68"/>
              <w:jc w:val="right"/>
              <w:rPr>
                <w:b/>
                <w:sz w:val="20"/>
              </w:rPr>
            </w:pPr>
            <w:r>
              <w:rPr>
                <w:b/>
                <w:spacing w:val="-2"/>
                <w:sz w:val="20"/>
              </w:rPr>
              <w:t>974.612,53</w:t>
            </w:r>
          </w:p>
        </w:tc>
        <w:tc>
          <w:tcPr>
            <w:tcW w:w="138" w:type="dxa"/>
          </w:tcPr>
          <w:p>
            <w:pPr>
              <w:pStyle w:val="TableParagraph"/>
              <w:rPr>
                <w:sz w:val="18"/>
              </w:rPr>
            </w:pPr>
          </w:p>
        </w:tc>
        <w:tc>
          <w:tcPr>
            <w:tcW w:w="1400" w:type="dxa"/>
            <w:tcBorders>
              <w:top w:val="single" w:sz="8" w:space="0" w:color="000000"/>
              <w:bottom w:val="single" w:sz="8" w:space="0" w:color="000000"/>
            </w:tcBorders>
          </w:tcPr>
          <w:p>
            <w:pPr>
              <w:pStyle w:val="TableParagraph"/>
              <w:spacing w:line="229" w:lineRule="exact" w:before="20"/>
              <w:ind w:right="66"/>
              <w:jc w:val="right"/>
              <w:rPr>
                <w:b/>
                <w:sz w:val="20"/>
              </w:rPr>
            </w:pPr>
            <w:r>
              <w:rPr>
                <w:b/>
                <w:spacing w:val="-2"/>
                <w:sz w:val="20"/>
              </w:rPr>
              <w:t>2.741.399,42</w:t>
            </w:r>
          </w:p>
        </w:tc>
      </w:tr>
      <w:tr>
        <w:trPr>
          <w:trHeight w:val="266" w:hRule="atLeast"/>
        </w:trPr>
        <w:tc>
          <w:tcPr>
            <w:tcW w:w="4624" w:type="dxa"/>
          </w:tcPr>
          <w:p>
            <w:pPr>
              <w:pStyle w:val="TableParagraph"/>
              <w:spacing w:before="13"/>
              <w:ind w:left="50"/>
              <w:rPr>
                <w:b/>
                <w:sz w:val="20"/>
              </w:rPr>
            </w:pPr>
            <w:r>
              <w:rPr>
                <w:b/>
                <w:sz w:val="20"/>
              </w:rPr>
              <w:t>Deudas</w:t>
            </w:r>
            <w:r>
              <w:rPr>
                <w:b/>
                <w:spacing w:val="-4"/>
                <w:sz w:val="20"/>
              </w:rPr>
              <w:t> </w:t>
            </w:r>
            <w:r>
              <w:rPr>
                <w:b/>
                <w:sz w:val="20"/>
              </w:rPr>
              <w:t>a</w:t>
            </w:r>
            <w:r>
              <w:rPr>
                <w:b/>
                <w:spacing w:val="-3"/>
                <w:sz w:val="20"/>
              </w:rPr>
              <w:t> </w:t>
            </w:r>
            <w:r>
              <w:rPr>
                <w:b/>
                <w:sz w:val="20"/>
              </w:rPr>
              <w:t>corto</w:t>
            </w:r>
            <w:r>
              <w:rPr>
                <w:b/>
                <w:spacing w:val="-3"/>
                <w:sz w:val="20"/>
              </w:rPr>
              <w:t> </w:t>
            </w:r>
            <w:r>
              <w:rPr>
                <w:b/>
                <w:spacing w:val="-4"/>
                <w:sz w:val="20"/>
              </w:rPr>
              <w:t>plazo</w:t>
            </w:r>
          </w:p>
        </w:tc>
        <w:tc>
          <w:tcPr>
            <w:tcW w:w="1386" w:type="dxa"/>
          </w:tcPr>
          <w:p>
            <w:pPr>
              <w:pStyle w:val="TableParagraph"/>
              <w:rPr>
                <w:sz w:val="18"/>
              </w:rPr>
            </w:pPr>
          </w:p>
        </w:tc>
        <w:tc>
          <w:tcPr>
            <w:tcW w:w="1397" w:type="dxa"/>
            <w:tcBorders>
              <w:top w:val="single" w:sz="8" w:space="0" w:color="000000"/>
            </w:tcBorders>
          </w:tcPr>
          <w:p>
            <w:pPr>
              <w:pStyle w:val="TableParagraph"/>
              <w:spacing w:line="221" w:lineRule="exact" w:before="26"/>
              <w:ind w:right="68"/>
              <w:jc w:val="right"/>
              <w:rPr>
                <w:b/>
                <w:sz w:val="20"/>
              </w:rPr>
            </w:pPr>
            <w:r>
              <w:rPr>
                <w:b/>
                <w:spacing w:val="-2"/>
                <w:sz w:val="20"/>
              </w:rPr>
              <w:t>7.588,64</w:t>
            </w:r>
          </w:p>
        </w:tc>
        <w:tc>
          <w:tcPr>
            <w:tcW w:w="138" w:type="dxa"/>
          </w:tcPr>
          <w:p>
            <w:pPr>
              <w:pStyle w:val="TableParagraph"/>
              <w:rPr>
                <w:sz w:val="18"/>
              </w:rPr>
            </w:pPr>
          </w:p>
        </w:tc>
        <w:tc>
          <w:tcPr>
            <w:tcW w:w="1400" w:type="dxa"/>
            <w:tcBorders>
              <w:top w:val="single" w:sz="8" w:space="0" w:color="000000"/>
            </w:tcBorders>
          </w:tcPr>
          <w:p>
            <w:pPr>
              <w:pStyle w:val="TableParagraph"/>
              <w:spacing w:line="221" w:lineRule="exact" w:before="26"/>
              <w:ind w:right="67"/>
              <w:jc w:val="right"/>
              <w:rPr>
                <w:b/>
                <w:sz w:val="20"/>
              </w:rPr>
            </w:pPr>
            <w:r>
              <w:rPr>
                <w:b/>
                <w:spacing w:val="-4"/>
                <w:sz w:val="20"/>
              </w:rPr>
              <w:t>0,00</w:t>
            </w:r>
          </w:p>
        </w:tc>
      </w:tr>
      <w:tr>
        <w:trPr>
          <w:trHeight w:val="254" w:hRule="atLeast"/>
        </w:trPr>
        <w:tc>
          <w:tcPr>
            <w:tcW w:w="4624" w:type="dxa"/>
          </w:tcPr>
          <w:p>
            <w:pPr>
              <w:pStyle w:val="TableParagraph"/>
              <w:spacing w:before="2"/>
              <w:ind w:left="250"/>
              <w:rPr>
                <w:sz w:val="20"/>
              </w:rPr>
            </w:pPr>
            <w:r>
              <w:rPr>
                <w:sz w:val="20"/>
              </w:rPr>
              <w:t>Otras</w:t>
            </w:r>
            <w:r>
              <w:rPr>
                <w:spacing w:val="-3"/>
                <w:sz w:val="20"/>
              </w:rPr>
              <w:t> </w:t>
            </w:r>
            <w:r>
              <w:rPr>
                <w:sz w:val="20"/>
              </w:rPr>
              <w:t>deudas</w:t>
            </w:r>
            <w:r>
              <w:rPr>
                <w:spacing w:val="-2"/>
                <w:sz w:val="20"/>
              </w:rPr>
              <w:t> </w:t>
            </w:r>
            <w:r>
              <w:rPr>
                <w:sz w:val="20"/>
              </w:rPr>
              <w:t>a</w:t>
            </w:r>
            <w:r>
              <w:rPr>
                <w:spacing w:val="-3"/>
                <w:sz w:val="20"/>
              </w:rPr>
              <w:t> </w:t>
            </w:r>
            <w:r>
              <w:rPr>
                <w:sz w:val="20"/>
              </w:rPr>
              <w:t>corto</w:t>
            </w:r>
            <w:r>
              <w:rPr>
                <w:spacing w:val="-2"/>
                <w:sz w:val="20"/>
              </w:rPr>
              <w:t> plazo</w:t>
            </w:r>
          </w:p>
        </w:tc>
        <w:tc>
          <w:tcPr>
            <w:tcW w:w="1386" w:type="dxa"/>
          </w:tcPr>
          <w:p>
            <w:pPr>
              <w:pStyle w:val="TableParagraph"/>
              <w:rPr>
                <w:sz w:val="18"/>
              </w:rPr>
            </w:pPr>
          </w:p>
        </w:tc>
        <w:tc>
          <w:tcPr>
            <w:tcW w:w="1397" w:type="dxa"/>
          </w:tcPr>
          <w:p>
            <w:pPr>
              <w:pStyle w:val="TableParagraph"/>
              <w:spacing w:line="220" w:lineRule="exact" w:before="14"/>
              <w:ind w:right="68"/>
              <w:jc w:val="right"/>
              <w:rPr>
                <w:sz w:val="20"/>
              </w:rPr>
            </w:pPr>
            <w:r>
              <w:rPr>
                <w:spacing w:val="-2"/>
                <w:sz w:val="20"/>
              </w:rPr>
              <w:t>7.588,64</w:t>
            </w:r>
          </w:p>
        </w:tc>
        <w:tc>
          <w:tcPr>
            <w:tcW w:w="1538" w:type="dxa"/>
            <w:gridSpan w:val="2"/>
          </w:tcPr>
          <w:p>
            <w:pPr>
              <w:pStyle w:val="TableParagraph"/>
              <w:spacing w:line="220" w:lineRule="exact" w:before="14"/>
              <w:ind w:right="67"/>
              <w:jc w:val="right"/>
              <w:rPr>
                <w:sz w:val="20"/>
              </w:rPr>
            </w:pPr>
            <w:r>
              <w:rPr>
                <w:spacing w:val="-4"/>
                <w:sz w:val="20"/>
              </w:rPr>
              <w:t>0,00</w:t>
            </w:r>
          </w:p>
        </w:tc>
      </w:tr>
      <w:tr>
        <w:trPr>
          <w:trHeight w:val="248" w:hRule="atLeast"/>
        </w:trPr>
        <w:tc>
          <w:tcPr>
            <w:tcW w:w="4624" w:type="dxa"/>
          </w:tcPr>
          <w:p>
            <w:pPr>
              <w:pStyle w:val="TableParagraph"/>
              <w:spacing w:line="227" w:lineRule="exact" w:before="2"/>
              <w:ind w:left="50"/>
              <w:rPr>
                <w:b/>
                <w:sz w:val="20"/>
              </w:rPr>
            </w:pPr>
            <w:r>
              <w:rPr>
                <w:b/>
                <w:sz w:val="20"/>
              </w:rPr>
              <w:t>Acreedores</w:t>
            </w:r>
            <w:r>
              <w:rPr>
                <w:b/>
                <w:spacing w:val="-5"/>
                <w:sz w:val="20"/>
              </w:rPr>
              <w:t> </w:t>
            </w:r>
            <w:r>
              <w:rPr>
                <w:b/>
                <w:sz w:val="20"/>
              </w:rPr>
              <w:t>comerciales</w:t>
            </w:r>
            <w:r>
              <w:rPr>
                <w:b/>
                <w:spacing w:val="-5"/>
                <w:sz w:val="20"/>
              </w:rPr>
              <w:t> </w:t>
            </w:r>
            <w:r>
              <w:rPr>
                <w:b/>
                <w:sz w:val="20"/>
              </w:rPr>
              <w:t>y</w:t>
            </w:r>
            <w:r>
              <w:rPr>
                <w:b/>
                <w:spacing w:val="-4"/>
                <w:sz w:val="20"/>
              </w:rPr>
              <w:t> </w:t>
            </w:r>
            <w:r>
              <w:rPr>
                <w:b/>
                <w:sz w:val="20"/>
              </w:rPr>
              <w:t>otras</w:t>
            </w:r>
            <w:r>
              <w:rPr>
                <w:b/>
                <w:spacing w:val="-5"/>
                <w:sz w:val="20"/>
              </w:rPr>
              <w:t> </w:t>
            </w:r>
            <w:r>
              <w:rPr>
                <w:b/>
                <w:sz w:val="20"/>
              </w:rPr>
              <w:t>cuentas</w:t>
            </w:r>
            <w:r>
              <w:rPr>
                <w:b/>
                <w:spacing w:val="-6"/>
                <w:sz w:val="20"/>
              </w:rPr>
              <w:t> </w:t>
            </w:r>
            <w:r>
              <w:rPr>
                <w:b/>
                <w:sz w:val="20"/>
              </w:rPr>
              <w:t>a</w:t>
            </w:r>
            <w:r>
              <w:rPr>
                <w:b/>
                <w:spacing w:val="-6"/>
                <w:sz w:val="20"/>
              </w:rPr>
              <w:t> </w:t>
            </w:r>
            <w:r>
              <w:rPr>
                <w:b/>
                <w:spacing w:val="-2"/>
                <w:sz w:val="20"/>
              </w:rPr>
              <w:t>pagar</w:t>
            </w:r>
          </w:p>
        </w:tc>
        <w:tc>
          <w:tcPr>
            <w:tcW w:w="1386" w:type="dxa"/>
          </w:tcPr>
          <w:p>
            <w:pPr>
              <w:pStyle w:val="TableParagraph"/>
              <w:rPr>
                <w:sz w:val="18"/>
              </w:rPr>
            </w:pPr>
          </w:p>
        </w:tc>
        <w:tc>
          <w:tcPr>
            <w:tcW w:w="1397" w:type="dxa"/>
          </w:tcPr>
          <w:p>
            <w:pPr>
              <w:pStyle w:val="TableParagraph"/>
              <w:spacing w:line="227" w:lineRule="exact" w:before="2"/>
              <w:ind w:right="68"/>
              <w:jc w:val="right"/>
              <w:rPr>
                <w:b/>
                <w:sz w:val="20"/>
              </w:rPr>
            </w:pPr>
            <w:r>
              <w:rPr>
                <w:b/>
                <w:spacing w:val="-2"/>
                <w:sz w:val="20"/>
              </w:rPr>
              <w:t>967.023,89</w:t>
            </w:r>
          </w:p>
        </w:tc>
        <w:tc>
          <w:tcPr>
            <w:tcW w:w="1538" w:type="dxa"/>
            <w:gridSpan w:val="2"/>
          </w:tcPr>
          <w:p>
            <w:pPr>
              <w:pStyle w:val="TableParagraph"/>
              <w:spacing w:line="227" w:lineRule="exact" w:before="2"/>
              <w:ind w:left="418"/>
              <w:rPr>
                <w:b/>
                <w:sz w:val="20"/>
              </w:rPr>
            </w:pPr>
            <w:r>
              <w:rPr>
                <w:b/>
                <w:spacing w:val="-2"/>
                <w:sz w:val="20"/>
              </w:rPr>
              <w:t>2.741.399,42</w:t>
            </w:r>
          </w:p>
        </w:tc>
      </w:tr>
      <w:tr>
        <w:trPr>
          <w:trHeight w:val="258" w:hRule="atLeast"/>
        </w:trPr>
        <w:tc>
          <w:tcPr>
            <w:tcW w:w="4624" w:type="dxa"/>
          </w:tcPr>
          <w:p>
            <w:pPr>
              <w:pStyle w:val="TableParagraph"/>
              <w:spacing w:before="8"/>
              <w:ind w:left="250"/>
              <w:rPr>
                <w:sz w:val="20"/>
              </w:rPr>
            </w:pPr>
            <w:r>
              <w:rPr>
                <w:spacing w:val="-2"/>
                <w:sz w:val="20"/>
              </w:rPr>
              <w:t>Proveedores</w:t>
            </w:r>
          </w:p>
        </w:tc>
        <w:tc>
          <w:tcPr>
            <w:tcW w:w="1386" w:type="dxa"/>
          </w:tcPr>
          <w:p>
            <w:pPr>
              <w:pStyle w:val="TableParagraph"/>
              <w:spacing w:before="8"/>
              <w:ind w:left="76"/>
              <w:jc w:val="center"/>
              <w:rPr>
                <w:b/>
                <w:sz w:val="20"/>
              </w:rPr>
            </w:pPr>
            <w:r>
              <w:rPr>
                <w:b/>
                <w:sz w:val="20"/>
              </w:rPr>
              <w:t>8, </w:t>
            </w:r>
            <w:r>
              <w:rPr>
                <w:b/>
                <w:spacing w:val="-5"/>
                <w:sz w:val="20"/>
              </w:rPr>
              <w:t>14</w:t>
            </w:r>
          </w:p>
        </w:tc>
        <w:tc>
          <w:tcPr>
            <w:tcW w:w="1397" w:type="dxa"/>
          </w:tcPr>
          <w:p>
            <w:pPr>
              <w:pStyle w:val="TableParagraph"/>
              <w:spacing w:before="8"/>
              <w:ind w:right="68"/>
              <w:jc w:val="right"/>
              <w:rPr>
                <w:sz w:val="20"/>
              </w:rPr>
            </w:pPr>
            <w:r>
              <w:rPr>
                <w:spacing w:val="-2"/>
                <w:sz w:val="20"/>
              </w:rPr>
              <w:t>864.004,01</w:t>
            </w:r>
          </w:p>
        </w:tc>
        <w:tc>
          <w:tcPr>
            <w:tcW w:w="1538" w:type="dxa"/>
            <w:gridSpan w:val="2"/>
          </w:tcPr>
          <w:p>
            <w:pPr>
              <w:pStyle w:val="TableParagraph"/>
              <w:spacing w:before="8"/>
              <w:ind w:left="418"/>
              <w:rPr>
                <w:sz w:val="20"/>
              </w:rPr>
            </w:pPr>
            <w:r>
              <w:rPr>
                <w:spacing w:val="-2"/>
                <w:sz w:val="20"/>
              </w:rPr>
              <w:t>2.381.330,55</w:t>
            </w:r>
          </w:p>
        </w:tc>
      </w:tr>
      <w:tr>
        <w:trPr>
          <w:trHeight w:val="261" w:hRule="atLeast"/>
        </w:trPr>
        <w:tc>
          <w:tcPr>
            <w:tcW w:w="4624" w:type="dxa"/>
          </w:tcPr>
          <w:p>
            <w:pPr>
              <w:pStyle w:val="TableParagraph"/>
              <w:spacing w:before="11"/>
              <w:ind w:left="250"/>
              <w:rPr>
                <w:sz w:val="20"/>
              </w:rPr>
            </w:pPr>
            <w:r>
              <w:rPr>
                <w:sz w:val="20"/>
              </w:rPr>
              <w:t>Otros</w:t>
            </w:r>
            <w:r>
              <w:rPr>
                <w:spacing w:val="-2"/>
                <w:sz w:val="20"/>
              </w:rPr>
              <w:t> acreedores</w:t>
            </w:r>
          </w:p>
        </w:tc>
        <w:tc>
          <w:tcPr>
            <w:tcW w:w="1386" w:type="dxa"/>
          </w:tcPr>
          <w:p>
            <w:pPr>
              <w:pStyle w:val="TableParagraph"/>
              <w:rPr>
                <w:sz w:val="18"/>
              </w:rPr>
            </w:pPr>
          </w:p>
        </w:tc>
        <w:tc>
          <w:tcPr>
            <w:tcW w:w="1397" w:type="dxa"/>
            <w:tcBorders>
              <w:bottom w:val="single" w:sz="8" w:space="0" w:color="000000"/>
            </w:tcBorders>
          </w:tcPr>
          <w:p>
            <w:pPr>
              <w:pStyle w:val="TableParagraph"/>
              <w:spacing w:before="11"/>
              <w:ind w:right="68"/>
              <w:jc w:val="right"/>
              <w:rPr>
                <w:sz w:val="20"/>
              </w:rPr>
            </w:pPr>
            <w:r>
              <w:rPr>
                <w:spacing w:val="-2"/>
                <w:sz w:val="20"/>
              </w:rPr>
              <w:t>103.019,88</w:t>
            </w:r>
          </w:p>
        </w:tc>
        <w:tc>
          <w:tcPr>
            <w:tcW w:w="1538" w:type="dxa"/>
            <w:gridSpan w:val="2"/>
            <w:tcBorders>
              <w:bottom w:val="single" w:sz="8" w:space="0" w:color="000000"/>
            </w:tcBorders>
          </w:tcPr>
          <w:p>
            <w:pPr>
              <w:pStyle w:val="TableParagraph"/>
              <w:spacing w:before="11"/>
              <w:ind w:left="568"/>
              <w:rPr>
                <w:sz w:val="20"/>
              </w:rPr>
            </w:pPr>
            <w:r>
              <w:rPr>
                <w:spacing w:val="-2"/>
                <w:sz w:val="20"/>
              </w:rPr>
              <w:t>360.068,87</w:t>
            </w:r>
          </w:p>
        </w:tc>
      </w:tr>
      <w:tr>
        <w:trPr>
          <w:trHeight w:val="271" w:hRule="atLeast"/>
        </w:trPr>
        <w:tc>
          <w:tcPr>
            <w:tcW w:w="4624" w:type="dxa"/>
          </w:tcPr>
          <w:p>
            <w:pPr>
              <w:pStyle w:val="TableParagraph"/>
              <w:spacing w:before="20"/>
              <w:ind w:left="50"/>
              <w:rPr>
                <w:b/>
                <w:sz w:val="20"/>
              </w:rPr>
            </w:pPr>
            <w:r>
              <w:rPr>
                <w:b/>
                <w:sz w:val="20"/>
              </w:rPr>
              <w:t>TOTAL</w:t>
            </w:r>
            <w:r>
              <w:rPr>
                <w:b/>
                <w:spacing w:val="-3"/>
                <w:sz w:val="20"/>
              </w:rPr>
              <w:t> </w:t>
            </w:r>
            <w:r>
              <w:rPr>
                <w:b/>
                <w:sz w:val="20"/>
              </w:rPr>
              <w:t>PATRIMONIO</w:t>
            </w:r>
            <w:r>
              <w:rPr>
                <w:b/>
                <w:spacing w:val="-4"/>
                <w:sz w:val="20"/>
              </w:rPr>
              <w:t> </w:t>
            </w:r>
            <w:r>
              <w:rPr>
                <w:b/>
                <w:sz w:val="20"/>
              </w:rPr>
              <w:t>NETO</w:t>
            </w:r>
            <w:r>
              <w:rPr>
                <w:b/>
                <w:spacing w:val="-3"/>
                <w:sz w:val="20"/>
              </w:rPr>
              <w:t> </w:t>
            </w:r>
            <w:r>
              <w:rPr>
                <w:b/>
                <w:sz w:val="20"/>
              </w:rPr>
              <w:t>Y</w:t>
            </w:r>
            <w:r>
              <w:rPr>
                <w:b/>
                <w:spacing w:val="-3"/>
                <w:sz w:val="20"/>
              </w:rPr>
              <w:t> </w:t>
            </w:r>
            <w:r>
              <w:rPr>
                <w:b/>
                <w:spacing w:val="-2"/>
                <w:sz w:val="20"/>
              </w:rPr>
              <w:t>PASIVO</w:t>
            </w:r>
          </w:p>
        </w:tc>
        <w:tc>
          <w:tcPr>
            <w:tcW w:w="1386" w:type="dxa"/>
          </w:tcPr>
          <w:p>
            <w:pPr>
              <w:pStyle w:val="TableParagraph"/>
              <w:rPr>
                <w:sz w:val="20"/>
              </w:rPr>
            </w:pPr>
          </w:p>
        </w:tc>
        <w:tc>
          <w:tcPr>
            <w:tcW w:w="1397" w:type="dxa"/>
            <w:tcBorders>
              <w:top w:val="single" w:sz="8" w:space="0" w:color="000000"/>
              <w:bottom w:val="double" w:sz="6" w:space="0" w:color="000000"/>
            </w:tcBorders>
          </w:tcPr>
          <w:p>
            <w:pPr>
              <w:pStyle w:val="TableParagraph"/>
              <w:spacing w:before="20"/>
              <w:ind w:right="68"/>
              <w:jc w:val="right"/>
              <w:rPr>
                <w:b/>
                <w:sz w:val="20"/>
              </w:rPr>
            </w:pPr>
            <w:r>
              <w:rPr>
                <w:b/>
                <w:spacing w:val="-2"/>
                <w:sz w:val="20"/>
              </w:rPr>
              <w:t>463.448.915,26</w:t>
            </w:r>
          </w:p>
        </w:tc>
        <w:tc>
          <w:tcPr>
            <w:tcW w:w="138" w:type="dxa"/>
          </w:tcPr>
          <w:p>
            <w:pPr>
              <w:pStyle w:val="TableParagraph"/>
              <w:rPr>
                <w:sz w:val="20"/>
              </w:rPr>
            </w:pPr>
          </w:p>
        </w:tc>
        <w:tc>
          <w:tcPr>
            <w:tcW w:w="1400" w:type="dxa"/>
            <w:tcBorders>
              <w:top w:val="single" w:sz="8" w:space="0" w:color="000000"/>
              <w:bottom w:val="double" w:sz="6" w:space="0" w:color="000000"/>
            </w:tcBorders>
          </w:tcPr>
          <w:p>
            <w:pPr>
              <w:pStyle w:val="TableParagraph"/>
              <w:spacing w:before="20"/>
              <w:ind w:right="66"/>
              <w:jc w:val="right"/>
              <w:rPr>
                <w:b/>
                <w:sz w:val="20"/>
              </w:rPr>
            </w:pPr>
            <w:r>
              <w:rPr>
                <w:b/>
                <w:spacing w:val="-2"/>
                <w:sz w:val="20"/>
              </w:rPr>
              <w:t>363.629.810,03</w:t>
            </w:r>
          </w:p>
        </w:tc>
      </w:tr>
    </w:tbl>
    <w:p>
      <w:pPr>
        <w:pStyle w:val="TableParagraph"/>
        <w:spacing w:after="0"/>
        <w:jc w:val="right"/>
        <w:rPr>
          <w:b/>
          <w:sz w:val="20"/>
        </w:rPr>
        <w:sectPr>
          <w:headerReference w:type="default" r:id="rId5"/>
          <w:footerReference w:type="default" r:id="rId6"/>
          <w:pgSz w:w="11910" w:h="16840"/>
          <w:pgMar w:header="1555" w:footer="1042" w:top="1920" w:bottom="1240" w:left="708" w:right="425"/>
          <w:pgNumType w:start="1"/>
        </w:sectPr>
      </w:pPr>
    </w:p>
    <w:p>
      <w:pPr>
        <w:spacing w:line="244" w:lineRule="auto" w:before="191"/>
        <w:ind w:left="2243" w:right="1635" w:firstLine="1098"/>
        <w:jc w:val="left"/>
        <w:rPr>
          <w:b/>
          <w:sz w:val="23"/>
        </w:rPr>
      </w:pPr>
      <w:r>
        <w:rPr>
          <w:b/>
          <w:sz w:val="23"/>
        </w:rPr>
        <w:t>Cuenta de Pérdidas y Ganancias abreviada correspondiente</w:t>
      </w:r>
      <w:r>
        <w:rPr>
          <w:b/>
          <w:spacing w:val="-4"/>
          <w:sz w:val="23"/>
        </w:rPr>
        <w:t> </w:t>
      </w:r>
      <w:r>
        <w:rPr>
          <w:b/>
          <w:sz w:val="23"/>
        </w:rPr>
        <w:t>al</w:t>
      </w:r>
      <w:r>
        <w:rPr>
          <w:b/>
          <w:spacing w:val="-4"/>
          <w:sz w:val="23"/>
        </w:rPr>
        <w:t> </w:t>
      </w:r>
      <w:r>
        <w:rPr>
          <w:b/>
          <w:sz w:val="23"/>
        </w:rPr>
        <w:t>ejercicio</w:t>
      </w:r>
      <w:r>
        <w:rPr>
          <w:b/>
          <w:spacing w:val="-4"/>
          <w:sz w:val="23"/>
        </w:rPr>
        <w:t> </w:t>
      </w:r>
      <w:r>
        <w:rPr>
          <w:b/>
          <w:sz w:val="23"/>
        </w:rPr>
        <w:t>terminado</w:t>
      </w:r>
      <w:r>
        <w:rPr>
          <w:b/>
          <w:spacing w:val="-4"/>
          <w:sz w:val="23"/>
        </w:rPr>
        <w:t> </w:t>
      </w:r>
      <w:r>
        <w:rPr>
          <w:b/>
          <w:sz w:val="23"/>
        </w:rPr>
        <w:t>el</w:t>
      </w:r>
      <w:r>
        <w:rPr>
          <w:b/>
          <w:spacing w:val="-4"/>
          <w:sz w:val="23"/>
        </w:rPr>
        <w:t> </w:t>
      </w:r>
      <w:r>
        <w:rPr>
          <w:b/>
          <w:sz w:val="23"/>
        </w:rPr>
        <w:t>31</w:t>
      </w:r>
      <w:r>
        <w:rPr>
          <w:b/>
          <w:spacing w:val="-4"/>
          <w:sz w:val="23"/>
        </w:rPr>
        <w:t> </w:t>
      </w:r>
      <w:r>
        <w:rPr>
          <w:b/>
          <w:sz w:val="23"/>
        </w:rPr>
        <w:t>de</w:t>
      </w:r>
      <w:r>
        <w:rPr>
          <w:b/>
          <w:spacing w:val="-6"/>
          <w:sz w:val="23"/>
        </w:rPr>
        <w:t> </w:t>
      </w:r>
      <w:r>
        <w:rPr>
          <w:b/>
          <w:sz w:val="23"/>
        </w:rPr>
        <w:t>diciembre</w:t>
      </w:r>
      <w:r>
        <w:rPr>
          <w:b/>
          <w:spacing w:val="-4"/>
          <w:sz w:val="23"/>
        </w:rPr>
        <w:t> </w:t>
      </w:r>
      <w:r>
        <w:rPr>
          <w:b/>
          <w:sz w:val="23"/>
        </w:rPr>
        <w:t>de</w:t>
      </w:r>
      <w:r>
        <w:rPr>
          <w:b/>
          <w:spacing w:val="-4"/>
          <w:sz w:val="23"/>
        </w:rPr>
        <w:t> </w:t>
      </w:r>
      <w:r>
        <w:rPr>
          <w:b/>
          <w:sz w:val="23"/>
        </w:rPr>
        <w:t>2025</w:t>
      </w:r>
    </w:p>
    <w:p>
      <w:pPr>
        <w:spacing w:line="263" w:lineRule="exact" w:before="0"/>
        <w:ind w:left="4444" w:right="0" w:firstLine="0"/>
        <w:jc w:val="left"/>
        <w:rPr>
          <w:b/>
          <w:sz w:val="23"/>
        </w:rPr>
      </w:pPr>
      <w:r>
        <w:rPr>
          <w:b/>
          <w:sz w:val="23"/>
        </w:rPr>
        <w:t>(expresada</w:t>
      </w:r>
      <w:r>
        <w:rPr>
          <w:b/>
          <w:spacing w:val="-3"/>
          <w:sz w:val="23"/>
        </w:rPr>
        <w:t> </w:t>
      </w:r>
      <w:r>
        <w:rPr>
          <w:b/>
          <w:sz w:val="23"/>
        </w:rPr>
        <w:t>en</w:t>
      </w:r>
      <w:r>
        <w:rPr>
          <w:b/>
          <w:spacing w:val="-1"/>
          <w:sz w:val="23"/>
        </w:rPr>
        <w:t> </w:t>
      </w:r>
      <w:r>
        <w:rPr>
          <w:b/>
          <w:spacing w:val="-2"/>
          <w:sz w:val="23"/>
        </w:rPr>
        <w:t>euros)</w:t>
      </w:r>
    </w:p>
    <w:p>
      <w:pPr>
        <w:pStyle w:val="BodyText"/>
        <w:rPr>
          <w:b/>
          <w:sz w:val="20"/>
        </w:rPr>
      </w:pPr>
    </w:p>
    <w:p>
      <w:pPr>
        <w:pStyle w:val="BodyText"/>
        <w:spacing w:before="126"/>
        <w:rPr>
          <w:b/>
          <w:sz w:val="20"/>
        </w:rPr>
      </w:pPr>
    </w:p>
    <w:tbl>
      <w:tblPr>
        <w:tblW w:w="0" w:type="auto"/>
        <w:jc w:val="left"/>
        <w:tblInd w:w="1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80"/>
        <w:gridCol w:w="929"/>
        <w:gridCol w:w="220"/>
        <w:gridCol w:w="1618"/>
        <w:gridCol w:w="220"/>
        <w:gridCol w:w="2241"/>
      </w:tblGrid>
      <w:tr>
        <w:trPr>
          <w:trHeight w:val="226" w:hRule="atLeast"/>
        </w:trPr>
        <w:tc>
          <w:tcPr>
            <w:tcW w:w="3480" w:type="dxa"/>
          </w:tcPr>
          <w:p>
            <w:pPr>
              <w:pStyle w:val="TableParagraph"/>
              <w:rPr>
                <w:sz w:val="16"/>
              </w:rPr>
            </w:pPr>
          </w:p>
        </w:tc>
        <w:tc>
          <w:tcPr>
            <w:tcW w:w="929" w:type="dxa"/>
          </w:tcPr>
          <w:p>
            <w:pPr>
              <w:pStyle w:val="TableParagraph"/>
              <w:spacing w:line="206" w:lineRule="exact"/>
              <w:ind w:right="1"/>
              <w:jc w:val="center"/>
              <w:rPr>
                <w:b/>
                <w:sz w:val="20"/>
              </w:rPr>
            </w:pPr>
            <w:r>
              <w:rPr>
                <w:b/>
                <w:sz w:val="20"/>
              </w:rPr>
              <w:t>Notas</w:t>
            </w:r>
            <w:r>
              <w:rPr>
                <w:b/>
                <w:spacing w:val="-4"/>
                <w:sz w:val="20"/>
              </w:rPr>
              <w:t> </w:t>
            </w:r>
            <w:r>
              <w:rPr>
                <w:b/>
                <w:spacing w:val="-5"/>
                <w:sz w:val="20"/>
              </w:rPr>
              <w:t>de</w:t>
            </w:r>
          </w:p>
        </w:tc>
        <w:tc>
          <w:tcPr>
            <w:tcW w:w="4299" w:type="dxa"/>
            <w:gridSpan w:val="4"/>
          </w:tcPr>
          <w:p>
            <w:pPr>
              <w:pStyle w:val="TableParagraph"/>
              <w:rPr>
                <w:sz w:val="16"/>
              </w:rPr>
            </w:pPr>
          </w:p>
        </w:tc>
      </w:tr>
      <w:tr>
        <w:trPr>
          <w:trHeight w:val="229" w:hRule="atLeast"/>
        </w:trPr>
        <w:tc>
          <w:tcPr>
            <w:tcW w:w="3480" w:type="dxa"/>
          </w:tcPr>
          <w:p>
            <w:pPr>
              <w:pStyle w:val="TableParagraph"/>
              <w:spacing w:line="210" w:lineRule="exact"/>
              <w:ind w:left="50"/>
              <w:rPr>
                <w:b/>
                <w:sz w:val="20"/>
              </w:rPr>
            </w:pPr>
            <w:r>
              <w:rPr>
                <w:b/>
                <w:sz w:val="20"/>
              </w:rPr>
              <w:t>OPERACIONES</w:t>
            </w:r>
            <w:r>
              <w:rPr>
                <w:b/>
                <w:spacing w:val="-9"/>
                <w:sz w:val="20"/>
              </w:rPr>
              <w:t> </w:t>
            </w:r>
            <w:r>
              <w:rPr>
                <w:b/>
                <w:spacing w:val="-2"/>
                <w:sz w:val="20"/>
              </w:rPr>
              <w:t>CONTINUADAS</w:t>
            </w:r>
          </w:p>
        </w:tc>
        <w:tc>
          <w:tcPr>
            <w:tcW w:w="929" w:type="dxa"/>
          </w:tcPr>
          <w:p>
            <w:pPr>
              <w:pStyle w:val="TableParagraph"/>
              <w:spacing w:line="210" w:lineRule="exact"/>
              <w:ind w:left="1" w:right="1"/>
              <w:jc w:val="center"/>
              <w:rPr>
                <w:b/>
                <w:sz w:val="20"/>
              </w:rPr>
            </w:pPr>
            <w:r>
              <w:rPr>
                <w:b/>
                <w:spacing w:val="-5"/>
                <w:sz w:val="20"/>
              </w:rPr>
              <w:t>la</w:t>
            </w:r>
          </w:p>
        </w:tc>
        <w:tc>
          <w:tcPr>
            <w:tcW w:w="220" w:type="dxa"/>
          </w:tcPr>
          <w:p>
            <w:pPr>
              <w:pStyle w:val="TableParagraph"/>
              <w:rPr>
                <w:sz w:val="16"/>
              </w:rPr>
            </w:pPr>
          </w:p>
        </w:tc>
        <w:tc>
          <w:tcPr>
            <w:tcW w:w="1618" w:type="dxa"/>
          </w:tcPr>
          <w:p>
            <w:pPr>
              <w:pStyle w:val="TableParagraph"/>
              <w:spacing w:line="210" w:lineRule="exact"/>
              <w:ind w:left="201"/>
              <w:rPr>
                <w:b/>
                <w:sz w:val="20"/>
              </w:rPr>
            </w:pPr>
            <w:r>
              <w:rPr>
                <w:b/>
                <w:sz w:val="20"/>
              </w:rPr>
              <w:t>Ejercicio</w:t>
            </w:r>
            <w:r>
              <w:rPr>
                <w:b/>
                <w:spacing w:val="-2"/>
                <w:sz w:val="20"/>
              </w:rPr>
              <w:t> </w:t>
            </w:r>
            <w:r>
              <w:rPr>
                <w:b/>
                <w:spacing w:val="-4"/>
                <w:sz w:val="20"/>
              </w:rPr>
              <w:t>2025</w:t>
            </w:r>
          </w:p>
        </w:tc>
        <w:tc>
          <w:tcPr>
            <w:tcW w:w="220" w:type="dxa"/>
          </w:tcPr>
          <w:p>
            <w:pPr>
              <w:pStyle w:val="TableParagraph"/>
              <w:rPr>
                <w:sz w:val="16"/>
              </w:rPr>
            </w:pPr>
          </w:p>
        </w:tc>
        <w:tc>
          <w:tcPr>
            <w:tcW w:w="2241" w:type="dxa"/>
          </w:tcPr>
          <w:p>
            <w:pPr>
              <w:pStyle w:val="TableParagraph"/>
              <w:spacing w:line="210" w:lineRule="exact"/>
              <w:ind w:left="511"/>
              <w:rPr>
                <w:b/>
                <w:sz w:val="20"/>
              </w:rPr>
            </w:pPr>
            <w:r>
              <w:rPr>
                <w:b/>
                <w:sz w:val="20"/>
              </w:rPr>
              <w:t>Ejercicio</w:t>
            </w:r>
            <w:r>
              <w:rPr>
                <w:b/>
                <w:spacing w:val="-2"/>
                <w:sz w:val="20"/>
              </w:rPr>
              <w:t> </w:t>
            </w:r>
            <w:r>
              <w:rPr>
                <w:b/>
                <w:spacing w:val="-4"/>
                <w:sz w:val="20"/>
              </w:rPr>
              <w:t>2024</w:t>
            </w:r>
          </w:p>
        </w:tc>
      </w:tr>
      <w:tr>
        <w:trPr>
          <w:trHeight w:val="300" w:hRule="atLeast"/>
        </w:trPr>
        <w:tc>
          <w:tcPr>
            <w:tcW w:w="3480" w:type="dxa"/>
          </w:tcPr>
          <w:p>
            <w:pPr>
              <w:pStyle w:val="TableParagraph"/>
              <w:rPr>
                <w:sz w:val="20"/>
              </w:rPr>
            </w:pPr>
          </w:p>
        </w:tc>
        <w:tc>
          <w:tcPr>
            <w:tcW w:w="929" w:type="dxa"/>
            <w:tcBorders>
              <w:bottom w:val="single" w:sz="8" w:space="0" w:color="000000"/>
            </w:tcBorders>
          </w:tcPr>
          <w:p>
            <w:pPr>
              <w:pStyle w:val="TableParagraph"/>
              <w:spacing w:line="225" w:lineRule="exact"/>
              <w:ind w:left="1" w:right="1"/>
              <w:jc w:val="center"/>
              <w:rPr>
                <w:b/>
                <w:sz w:val="20"/>
              </w:rPr>
            </w:pPr>
            <w:r>
              <w:rPr>
                <w:b/>
                <w:spacing w:val="-2"/>
                <w:sz w:val="20"/>
              </w:rPr>
              <w:t>Memoria</w:t>
            </w:r>
          </w:p>
        </w:tc>
        <w:tc>
          <w:tcPr>
            <w:tcW w:w="220" w:type="dxa"/>
          </w:tcPr>
          <w:p>
            <w:pPr>
              <w:pStyle w:val="TableParagraph"/>
              <w:rPr>
                <w:sz w:val="20"/>
              </w:rPr>
            </w:pPr>
          </w:p>
        </w:tc>
        <w:tc>
          <w:tcPr>
            <w:tcW w:w="1618" w:type="dxa"/>
            <w:tcBorders>
              <w:bottom w:val="single" w:sz="8" w:space="0" w:color="000000"/>
            </w:tcBorders>
          </w:tcPr>
          <w:p>
            <w:pPr>
              <w:pStyle w:val="TableParagraph"/>
              <w:rPr>
                <w:sz w:val="20"/>
              </w:rPr>
            </w:pPr>
          </w:p>
        </w:tc>
        <w:tc>
          <w:tcPr>
            <w:tcW w:w="220" w:type="dxa"/>
          </w:tcPr>
          <w:p>
            <w:pPr>
              <w:pStyle w:val="TableParagraph"/>
              <w:rPr>
                <w:sz w:val="20"/>
              </w:rPr>
            </w:pPr>
          </w:p>
        </w:tc>
        <w:tc>
          <w:tcPr>
            <w:tcW w:w="2241" w:type="dxa"/>
            <w:tcBorders>
              <w:bottom w:val="single" w:sz="8" w:space="0" w:color="000000"/>
            </w:tcBorders>
          </w:tcPr>
          <w:p>
            <w:pPr>
              <w:pStyle w:val="TableParagraph"/>
              <w:rPr>
                <w:sz w:val="20"/>
              </w:rPr>
            </w:pPr>
          </w:p>
        </w:tc>
      </w:tr>
      <w:tr>
        <w:trPr>
          <w:trHeight w:val="264" w:hRule="atLeast"/>
        </w:trPr>
        <w:tc>
          <w:tcPr>
            <w:tcW w:w="3480" w:type="dxa"/>
          </w:tcPr>
          <w:p>
            <w:pPr>
              <w:pStyle w:val="TableParagraph"/>
              <w:spacing w:line="210" w:lineRule="exact" w:before="35"/>
              <w:ind w:left="50"/>
              <w:rPr>
                <w:b/>
                <w:sz w:val="20"/>
              </w:rPr>
            </w:pPr>
            <w:r>
              <w:rPr>
                <w:b/>
                <w:sz w:val="20"/>
              </w:rPr>
              <w:t>Importe</w:t>
            </w:r>
            <w:r>
              <w:rPr>
                <w:b/>
                <w:spacing w:val="-3"/>
                <w:sz w:val="20"/>
              </w:rPr>
              <w:t> </w:t>
            </w:r>
            <w:r>
              <w:rPr>
                <w:b/>
                <w:sz w:val="20"/>
              </w:rPr>
              <w:t>neto</w:t>
            </w:r>
            <w:r>
              <w:rPr>
                <w:b/>
                <w:spacing w:val="-1"/>
                <w:sz w:val="20"/>
              </w:rPr>
              <w:t> </w:t>
            </w:r>
            <w:r>
              <w:rPr>
                <w:b/>
                <w:sz w:val="20"/>
              </w:rPr>
              <w:t>de</w:t>
            </w:r>
            <w:r>
              <w:rPr>
                <w:b/>
                <w:spacing w:val="-2"/>
                <w:sz w:val="20"/>
              </w:rPr>
              <w:t> </w:t>
            </w:r>
            <w:r>
              <w:rPr>
                <w:b/>
                <w:sz w:val="20"/>
              </w:rPr>
              <w:t>la</w:t>
            </w:r>
            <w:r>
              <w:rPr>
                <w:b/>
                <w:spacing w:val="-1"/>
                <w:sz w:val="20"/>
              </w:rPr>
              <w:t> </w:t>
            </w:r>
            <w:r>
              <w:rPr>
                <w:b/>
                <w:sz w:val="20"/>
              </w:rPr>
              <w:t>cifra</w:t>
            </w:r>
            <w:r>
              <w:rPr>
                <w:b/>
                <w:spacing w:val="-1"/>
                <w:sz w:val="20"/>
              </w:rPr>
              <w:t> </w:t>
            </w:r>
            <w:r>
              <w:rPr>
                <w:b/>
                <w:sz w:val="20"/>
              </w:rPr>
              <w:t>de</w:t>
            </w:r>
            <w:r>
              <w:rPr>
                <w:b/>
                <w:spacing w:val="-1"/>
                <w:sz w:val="20"/>
              </w:rPr>
              <w:t> </w:t>
            </w:r>
            <w:r>
              <w:rPr>
                <w:b/>
                <w:spacing w:val="-2"/>
                <w:sz w:val="20"/>
              </w:rPr>
              <w:t>negocios</w:t>
            </w:r>
          </w:p>
        </w:tc>
        <w:tc>
          <w:tcPr>
            <w:tcW w:w="929" w:type="dxa"/>
            <w:tcBorders>
              <w:top w:val="single" w:sz="8" w:space="0" w:color="000000"/>
            </w:tcBorders>
          </w:tcPr>
          <w:p>
            <w:pPr>
              <w:pStyle w:val="TableParagraph"/>
              <w:spacing w:line="210" w:lineRule="exact" w:before="35"/>
              <w:ind w:left="1" w:right="1"/>
              <w:jc w:val="center"/>
              <w:rPr>
                <w:b/>
                <w:sz w:val="20"/>
              </w:rPr>
            </w:pPr>
            <w:r>
              <w:rPr>
                <w:b/>
                <w:spacing w:val="-5"/>
                <w:sz w:val="20"/>
              </w:rPr>
              <w:t>14</w:t>
            </w:r>
          </w:p>
        </w:tc>
        <w:tc>
          <w:tcPr>
            <w:tcW w:w="220" w:type="dxa"/>
          </w:tcPr>
          <w:p>
            <w:pPr>
              <w:pStyle w:val="TableParagraph"/>
              <w:rPr>
                <w:sz w:val="18"/>
              </w:rPr>
            </w:pPr>
          </w:p>
        </w:tc>
        <w:tc>
          <w:tcPr>
            <w:tcW w:w="1618" w:type="dxa"/>
            <w:tcBorders>
              <w:top w:val="single" w:sz="8" w:space="0" w:color="000000"/>
            </w:tcBorders>
          </w:tcPr>
          <w:p>
            <w:pPr>
              <w:pStyle w:val="TableParagraph"/>
              <w:spacing w:line="210" w:lineRule="exact" w:before="35"/>
              <w:ind w:right="68"/>
              <w:jc w:val="right"/>
              <w:rPr>
                <w:b/>
                <w:sz w:val="20"/>
              </w:rPr>
            </w:pPr>
            <w:r>
              <w:rPr>
                <w:b/>
                <w:spacing w:val="-2"/>
                <w:sz w:val="20"/>
              </w:rPr>
              <w:t>29.893,03</w:t>
            </w:r>
          </w:p>
        </w:tc>
        <w:tc>
          <w:tcPr>
            <w:tcW w:w="220" w:type="dxa"/>
          </w:tcPr>
          <w:p>
            <w:pPr>
              <w:pStyle w:val="TableParagraph"/>
              <w:rPr>
                <w:sz w:val="18"/>
              </w:rPr>
            </w:pPr>
          </w:p>
        </w:tc>
        <w:tc>
          <w:tcPr>
            <w:tcW w:w="2241" w:type="dxa"/>
            <w:tcBorders>
              <w:top w:val="single" w:sz="8" w:space="0" w:color="000000"/>
            </w:tcBorders>
          </w:tcPr>
          <w:p>
            <w:pPr>
              <w:pStyle w:val="TableParagraph"/>
              <w:spacing w:line="210" w:lineRule="exact" w:before="35"/>
              <w:ind w:right="68"/>
              <w:jc w:val="right"/>
              <w:rPr>
                <w:b/>
                <w:sz w:val="20"/>
              </w:rPr>
            </w:pPr>
            <w:r>
              <w:rPr>
                <w:b/>
                <w:spacing w:val="-2"/>
                <w:sz w:val="20"/>
              </w:rPr>
              <w:t>33.294,93</w:t>
            </w:r>
          </w:p>
        </w:tc>
      </w:tr>
      <w:tr>
        <w:trPr>
          <w:trHeight w:val="520" w:hRule="atLeast"/>
        </w:trPr>
        <w:tc>
          <w:tcPr>
            <w:tcW w:w="3480" w:type="dxa"/>
          </w:tcPr>
          <w:p>
            <w:pPr>
              <w:pStyle w:val="TableParagraph"/>
              <w:spacing w:line="230" w:lineRule="atLeast" w:before="40"/>
              <w:ind w:left="50"/>
              <w:rPr>
                <w:b/>
                <w:sz w:val="20"/>
              </w:rPr>
            </w:pPr>
            <w:r>
              <w:rPr>
                <w:b/>
                <w:sz w:val="20"/>
              </w:rPr>
              <w:t>Variación</w:t>
            </w:r>
            <w:r>
              <w:rPr>
                <w:b/>
                <w:spacing w:val="-9"/>
                <w:sz w:val="20"/>
              </w:rPr>
              <w:t> </w:t>
            </w:r>
            <w:r>
              <w:rPr>
                <w:b/>
                <w:sz w:val="20"/>
              </w:rPr>
              <w:t>de</w:t>
            </w:r>
            <w:r>
              <w:rPr>
                <w:b/>
                <w:spacing w:val="-11"/>
                <w:sz w:val="20"/>
              </w:rPr>
              <w:t> </w:t>
            </w:r>
            <w:r>
              <w:rPr>
                <w:b/>
                <w:sz w:val="20"/>
              </w:rPr>
              <w:t>existencias</w:t>
            </w:r>
            <w:r>
              <w:rPr>
                <w:b/>
                <w:spacing w:val="-10"/>
                <w:sz w:val="20"/>
              </w:rPr>
              <w:t> </w:t>
            </w:r>
            <w:r>
              <w:rPr>
                <w:b/>
                <w:sz w:val="20"/>
              </w:rPr>
              <w:t>de</w:t>
            </w:r>
            <w:r>
              <w:rPr>
                <w:b/>
                <w:spacing w:val="-10"/>
                <w:sz w:val="20"/>
              </w:rPr>
              <w:t> </w:t>
            </w:r>
            <w:r>
              <w:rPr>
                <w:b/>
                <w:sz w:val="20"/>
              </w:rPr>
              <w:t>productos terminados y en curso de fabricación</w:t>
            </w:r>
          </w:p>
        </w:tc>
        <w:tc>
          <w:tcPr>
            <w:tcW w:w="929" w:type="dxa"/>
          </w:tcPr>
          <w:p>
            <w:pPr>
              <w:pStyle w:val="TableParagraph"/>
              <w:spacing w:before="175"/>
              <w:ind w:left="1" w:right="1"/>
              <w:jc w:val="center"/>
              <w:rPr>
                <w:b/>
                <w:sz w:val="20"/>
              </w:rPr>
            </w:pPr>
            <w:r>
              <w:rPr>
                <w:b/>
                <w:spacing w:val="-5"/>
                <w:sz w:val="20"/>
              </w:rPr>
              <w:t>10</w:t>
            </w:r>
          </w:p>
        </w:tc>
        <w:tc>
          <w:tcPr>
            <w:tcW w:w="1838" w:type="dxa"/>
            <w:gridSpan w:val="2"/>
          </w:tcPr>
          <w:p>
            <w:pPr>
              <w:pStyle w:val="TableParagraph"/>
              <w:spacing w:before="175"/>
              <w:ind w:left="617"/>
              <w:rPr>
                <w:b/>
                <w:sz w:val="20"/>
              </w:rPr>
            </w:pPr>
            <w:r>
              <w:rPr>
                <w:b/>
                <w:spacing w:val="-2"/>
                <w:sz w:val="20"/>
              </w:rPr>
              <w:t>32.025.086,30</w:t>
            </w:r>
          </w:p>
        </w:tc>
        <w:tc>
          <w:tcPr>
            <w:tcW w:w="2461" w:type="dxa"/>
            <w:gridSpan w:val="2"/>
          </w:tcPr>
          <w:p>
            <w:pPr>
              <w:pStyle w:val="TableParagraph"/>
              <w:spacing w:before="175"/>
              <w:ind w:left="1240"/>
              <w:rPr>
                <w:b/>
                <w:sz w:val="20"/>
              </w:rPr>
            </w:pPr>
            <w:r>
              <w:rPr>
                <w:b/>
                <w:spacing w:val="-2"/>
                <w:sz w:val="20"/>
              </w:rPr>
              <w:t>37.411.914,56</w:t>
            </w:r>
          </w:p>
        </w:tc>
      </w:tr>
      <w:tr>
        <w:trPr>
          <w:trHeight w:val="328" w:hRule="atLeast"/>
        </w:trPr>
        <w:tc>
          <w:tcPr>
            <w:tcW w:w="3480" w:type="dxa"/>
          </w:tcPr>
          <w:p>
            <w:pPr>
              <w:pStyle w:val="TableParagraph"/>
              <w:spacing w:before="59"/>
              <w:ind w:left="50"/>
              <w:rPr>
                <w:b/>
                <w:sz w:val="20"/>
              </w:rPr>
            </w:pPr>
            <w:r>
              <w:rPr>
                <w:b/>
                <w:spacing w:val="-2"/>
                <w:sz w:val="20"/>
              </w:rPr>
              <w:t>Aprovisionamientos</w:t>
            </w:r>
          </w:p>
        </w:tc>
        <w:tc>
          <w:tcPr>
            <w:tcW w:w="1149" w:type="dxa"/>
            <w:gridSpan w:val="2"/>
          </w:tcPr>
          <w:p>
            <w:pPr>
              <w:pStyle w:val="TableParagraph"/>
              <w:rPr>
                <w:sz w:val="20"/>
              </w:rPr>
            </w:pPr>
          </w:p>
        </w:tc>
        <w:tc>
          <w:tcPr>
            <w:tcW w:w="1618" w:type="dxa"/>
          </w:tcPr>
          <w:p>
            <w:pPr>
              <w:pStyle w:val="TableParagraph"/>
              <w:spacing w:before="59"/>
              <w:ind w:right="68"/>
              <w:jc w:val="right"/>
              <w:rPr>
                <w:b/>
                <w:sz w:val="20"/>
              </w:rPr>
            </w:pPr>
            <w:r>
              <w:rPr>
                <w:b/>
                <w:sz w:val="20"/>
              </w:rPr>
              <w:t>-</w:t>
            </w:r>
            <w:r>
              <w:rPr>
                <w:b/>
                <w:spacing w:val="-2"/>
                <w:sz w:val="20"/>
              </w:rPr>
              <w:t>31.827.001,45</w:t>
            </w:r>
          </w:p>
        </w:tc>
        <w:tc>
          <w:tcPr>
            <w:tcW w:w="220" w:type="dxa"/>
          </w:tcPr>
          <w:p>
            <w:pPr>
              <w:pStyle w:val="TableParagraph"/>
              <w:rPr>
                <w:sz w:val="20"/>
              </w:rPr>
            </w:pPr>
          </w:p>
        </w:tc>
        <w:tc>
          <w:tcPr>
            <w:tcW w:w="2241" w:type="dxa"/>
          </w:tcPr>
          <w:p>
            <w:pPr>
              <w:pStyle w:val="TableParagraph"/>
              <w:spacing w:before="59"/>
              <w:ind w:right="68"/>
              <w:jc w:val="right"/>
              <w:rPr>
                <w:b/>
                <w:sz w:val="20"/>
              </w:rPr>
            </w:pPr>
            <w:r>
              <w:rPr>
                <w:b/>
                <w:sz w:val="20"/>
              </w:rPr>
              <w:t>-</w:t>
            </w:r>
            <w:r>
              <w:rPr>
                <w:b/>
                <w:spacing w:val="-2"/>
                <w:sz w:val="20"/>
              </w:rPr>
              <w:t>37.240.141,41</w:t>
            </w:r>
          </w:p>
        </w:tc>
      </w:tr>
      <w:tr>
        <w:trPr>
          <w:trHeight w:val="300" w:hRule="atLeast"/>
        </w:trPr>
        <w:tc>
          <w:tcPr>
            <w:tcW w:w="3480" w:type="dxa"/>
          </w:tcPr>
          <w:p>
            <w:pPr>
              <w:pStyle w:val="TableParagraph"/>
              <w:spacing w:before="31"/>
              <w:ind w:left="50"/>
              <w:rPr>
                <w:b/>
                <w:sz w:val="20"/>
              </w:rPr>
            </w:pPr>
            <w:r>
              <w:rPr>
                <w:b/>
                <w:sz w:val="20"/>
              </w:rPr>
              <w:t>Gastos</w:t>
            </w:r>
            <w:r>
              <w:rPr>
                <w:b/>
                <w:spacing w:val="-3"/>
                <w:sz w:val="20"/>
              </w:rPr>
              <w:t> </w:t>
            </w:r>
            <w:r>
              <w:rPr>
                <w:b/>
                <w:sz w:val="20"/>
              </w:rPr>
              <w:t>de</w:t>
            </w:r>
            <w:r>
              <w:rPr>
                <w:b/>
                <w:spacing w:val="-2"/>
                <w:sz w:val="20"/>
              </w:rPr>
              <w:t> personal</w:t>
            </w:r>
          </w:p>
        </w:tc>
        <w:tc>
          <w:tcPr>
            <w:tcW w:w="1149" w:type="dxa"/>
            <w:gridSpan w:val="2"/>
          </w:tcPr>
          <w:p>
            <w:pPr>
              <w:pStyle w:val="TableParagraph"/>
              <w:rPr>
                <w:sz w:val="20"/>
              </w:rPr>
            </w:pPr>
          </w:p>
        </w:tc>
        <w:tc>
          <w:tcPr>
            <w:tcW w:w="1618" w:type="dxa"/>
          </w:tcPr>
          <w:p>
            <w:pPr>
              <w:pStyle w:val="TableParagraph"/>
              <w:spacing w:before="31"/>
              <w:ind w:right="68"/>
              <w:jc w:val="right"/>
              <w:rPr>
                <w:b/>
                <w:sz w:val="20"/>
              </w:rPr>
            </w:pPr>
            <w:r>
              <w:rPr>
                <w:b/>
                <w:sz w:val="20"/>
              </w:rPr>
              <w:t>-</w:t>
            </w:r>
            <w:r>
              <w:rPr>
                <w:b/>
                <w:spacing w:val="-2"/>
                <w:sz w:val="20"/>
              </w:rPr>
              <w:t>114.457,84</w:t>
            </w:r>
          </w:p>
        </w:tc>
        <w:tc>
          <w:tcPr>
            <w:tcW w:w="220" w:type="dxa"/>
          </w:tcPr>
          <w:p>
            <w:pPr>
              <w:pStyle w:val="TableParagraph"/>
              <w:rPr>
                <w:sz w:val="20"/>
              </w:rPr>
            </w:pPr>
          </w:p>
        </w:tc>
        <w:tc>
          <w:tcPr>
            <w:tcW w:w="2241" w:type="dxa"/>
          </w:tcPr>
          <w:p>
            <w:pPr>
              <w:pStyle w:val="TableParagraph"/>
              <w:spacing w:before="31"/>
              <w:ind w:right="68"/>
              <w:jc w:val="right"/>
              <w:rPr>
                <w:b/>
                <w:sz w:val="20"/>
              </w:rPr>
            </w:pPr>
            <w:r>
              <w:rPr>
                <w:b/>
                <w:sz w:val="20"/>
              </w:rPr>
              <w:t>-</w:t>
            </w:r>
            <w:r>
              <w:rPr>
                <w:b/>
                <w:spacing w:val="-2"/>
                <w:sz w:val="20"/>
              </w:rPr>
              <w:t>133.503,55</w:t>
            </w:r>
          </w:p>
        </w:tc>
      </w:tr>
      <w:tr>
        <w:trPr>
          <w:trHeight w:val="300" w:hRule="atLeast"/>
        </w:trPr>
        <w:tc>
          <w:tcPr>
            <w:tcW w:w="3480" w:type="dxa"/>
          </w:tcPr>
          <w:p>
            <w:pPr>
              <w:pStyle w:val="TableParagraph"/>
              <w:spacing w:before="31"/>
              <w:ind w:left="50"/>
              <w:rPr>
                <w:b/>
                <w:sz w:val="20"/>
              </w:rPr>
            </w:pPr>
            <w:r>
              <w:rPr>
                <w:b/>
                <w:sz w:val="20"/>
              </w:rPr>
              <w:t>Otros</w:t>
            </w:r>
            <w:r>
              <w:rPr>
                <w:b/>
                <w:spacing w:val="-3"/>
                <w:sz w:val="20"/>
              </w:rPr>
              <w:t> </w:t>
            </w:r>
            <w:r>
              <w:rPr>
                <w:b/>
                <w:sz w:val="20"/>
              </w:rPr>
              <w:t>gastos</w:t>
            </w:r>
            <w:r>
              <w:rPr>
                <w:b/>
                <w:spacing w:val="-2"/>
                <w:sz w:val="20"/>
              </w:rPr>
              <w:t> </w:t>
            </w:r>
            <w:r>
              <w:rPr>
                <w:b/>
                <w:sz w:val="20"/>
              </w:rPr>
              <w:t>de</w:t>
            </w:r>
            <w:r>
              <w:rPr>
                <w:b/>
                <w:spacing w:val="-1"/>
                <w:sz w:val="20"/>
              </w:rPr>
              <w:t> </w:t>
            </w:r>
            <w:r>
              <w:rPr>
                <w:b/>
                <w:spacing w:val="-2"/>
                <w:sz w:val="20"/>
              </w:rPr>
              <w:t>explotación</w:t>
            </w:r>
          </w:p>
        </w:tc>
        <w:tc>
          <w:tcPr>
            <w:tcW w:w="1149" w:type="dxa"/>
            <w:gridSpan w:val="2"/>
          </w:tcPr>
          <w:p>
            <w:pPr>
              <w:pStyle w:val="TableParagraph"/>
              <w:rPr>
                <w:sz w:val="20"/>
              </w:rPr>
            </w:pPr>
          </w:p>
        </w:tc>
        <w:tc>
          <w:tcPr>
            <w:tcW w:w="1618" w:type="dxa"/>
          </w:tcPr>
          <w:p>
            <w:pPr>
              <w:pStyle w:val="TableParagraph"/>
              <w:spacing w:before="31"/>
              <w:ind w:right="68"/>
              <w:jc w:val="right"/>
              <w:rPr>
                <w:b/>
                <w:sz w:val="20"/>
              </w:rPr>
            </w:pPr>
            <w:r>
              <w:rPr>
                <w:b/>
                <w:sz w:val="20"/>
              </w:rPr>
              <w:t>-</w:t>
            </w:r>
            <w:r>
              <w:rPr>
                <w:b/>
                <w:spacing w:val="-2"/>
                <w:sz w:val="20"/>
              </w:rPr>
              <w:t>110.902,48</w:t>
            </w:r>
          </w:p>
        </w:tc>
        <w:tc>
          <w:tcPr>
            <w:tcW w:w="220" w:type="dxa"/>
          </w:tcPr>
          <w:p>
            <w:pPr>
              <w:pStyle w:val="TableParagraph"/>
              <w:rPr>
                <w:sz w:val="20"/>
              </w:rPr>
            </w:pPr>
          </w:p>
        </w:tc>
        <w:tc>
          <w:tcPr>
            <w:tcW w:w="2241" w:type="dxa"/>
          </w:tcPr>
          <w:p>
            <w:pPr>
              <w:pStyle w:val="TableParagraph"/>
              <w:spacing w:before="31"/>
              <w:ind w:right="68"/>
              <w:jc w:val="right"/>
              <w:rPr>
                <w:b/>
                <w:sz w:val="20"/>
              </w:rPr>
            </w:pPr>
            <w:r>
              <w:rPr>
                <w:b/>
                <w:sz w:val="20"/>
              </w:rPr>
              <w:t>-</w:t>
            </w:r>
            <w:r>
              <w:rPr>
                <w:b/>
                <w:spacing w:val="-2"/>
                <w:sz w:val="20"/>
              </w:rPr>
              <w:t>69.294,01</w:t>
            </w:r>
          </w:p>
        </w:tc>
      </w:tr>
      <w:tr>
        <w:trPr>
          <w:trHeight w:val="322" w:hRule="atLeast"/>
        </w:trPr>
        <w:tc>
          <w:tcPr>
            <w:tcW w:w="3480" w:type="dxa"/>
          </w:tcPr>
          <w:p>
            <w:pPr>
              <w:pStyle w:val="TableParagraph"/>
              <w:spacing w:before="31"/>
              <w:ind w:left="50"/>
              <w:rPr>
                <w:b/>
                <w:sz w:val="20"/>
              </w:rPr>
            </w:pPr>
            <w:r>
              <w:rPr>
                <w:b/>
                <w:sz w:val="20"/>
              </w:rPr>
              <w:t>Amortización</w:t>
            </w:r>
            <w:r>
              <w:rPr>
                <w:b/>
                <w:spacing w:val="-3"/>
                <w:sz w:val="20"/>
              </w:rPr>
              <w:t> </w:t>
            </w:r>
            <w:r>
              <w:rPr>
                <w:b/>
                <w:sz w:val="20"/>
              </w:rPr>
              <w:t>del</w:t>
            </w:r>
            <w:r>
              <w:rPr>
                <w:b/>
                <w:spacing w:val="-2"/>
                <w:sz w:val="20"/>
              </w:rPr>
              <w:t> inmovilizado</w:t>
            </w:r>
          </w:p>
        </w:tc>
        <w:tc>
          <w:tcPr>
            <w:tcW w:w="1149" w:type="dxa"/>
            <w:gridSpan w:val="2"/>
          </w:tcPr>
          <w:p>
            <w:pPr>
              <w:pStyle w:val="TableParagraph"/>
              <w:spacing w:before="31"/>
              <w:ind w:left="313"/>
              <w:rPr>
                <w:b/>
                <w:sz w:val="20"/>
              </w:rPr>
            </w:pPr>
            <w:r>
              <w:rPr>
                <w:b/>
                <w:sz w:val="20"/>
              </w:rPr>
              <w:t>5, </w:t>
            </w:r>
            <w:r>
              <w:rPr>
                <w:b/>
                <w:spacing w:val="-10"/>
                <w:sz w:val="20"/>
              </w:rPr>
              <w:t>6</w:t>
            </w:r>
          </w:p>
        </w:tc>
        <w:tc>
          <w:tcPr>
            <w:tcW w:w="1618" w:type="dxa"/>
          </w:tcPr>
          <w:p>
            <w:pPr>
              <w:pStyle w:val="TableParagraph"/>
              <w:spacing w:before="67"/>
              <w:ind w:right="68"/>
              <w:jc w:val="right"/>
              <w:rPr>
                <w:b/>
                <w:sz w:val="20"/>
              </w:rPr>
            </w:pPr>
            <w:r>
              <w:rPr>
                <w:b/>
                <w:sz w:val="20"/>
              </w:rPr>
              <w:t>-</w:t>
            </w:r>
            <w:r>
              <w:rPr>
                <w:b/>
                <w:spacing w:val="-2"/>
                <w:sz w:val="20"/>
              </w:rPr>
              <w:t>2.388,83</w:t>
            </w:r>
          </w:p>
        </w:tc>
        <w:tc>
          <w:tcPr>
            <w:tcW w:w="220" w:type="dxa"/>
          </w:tcPr>
          <w:p>
            <w:pPr>
              <w:pStyle w:val="TableParagraph"/>
              <w:rPr>
                <w:sz w:val="20"/>
              </w:rPr>
            </w:pPr>
          </w:p>
        </w:tc>
        <w:tc>
          <w:tcPr>
            <w:tcW w:w="2241" w:type="dxa"/>
          </w:tcPr>
          <w:p>
            <w:pPr>
              <w:pStyle w:val="TableParagraph"/>
              <w:spacing w:before="67"/>
              <w:ind w:right="69"/>
              <w:jc w:val="right"/>
              <w:rPr>
                <w:b/>
                <w:sz w:val="20"/>
              </w:rPr>
            </w:pPr>
            <w:r>
              <w:rPr>
                <w:b/>
                <w:sz w:val="20"/>
              </w:rPr>
              <w:t>-</w:t>
            </w:r>
            <w:r>
              <w:rPr>
                <w:b/>
                <w:spacing w:val="-2"/>
                <w:sz w:val="20"/>
              </w:rPr>
              <w:t>2.270,48</w:t>
            </w:r>
          </w:p>
        </w:tc>
      </w:tr>
      <w:tr>
        <w:trPr>
          <w:trHeight w:val="288" w:hRule="atLeast"/>
        </w:trPr>
        <w:tc>
          <w:tcPr>
            <w:tcW w:w="3480" w:type="dxa"/>
          </w:tcPr>
          <w:p>
            <w:pPr>
              <w:pStyle w:val="TableParagraph"/>
              <w:spacing w:before="17"/>
              <w:ind w:left="50"/>
              <w:rPr>
                <w:b/>
                <w:sz w:val="20"/>
              </w:rPr>
            </w:pPr>
            <w:r>
              <w:rPr>
                <w:b/>
                <w:sz w:val="20"/>
              </w:rPr>
              <w:t>Otros</w:t>
            </w:r>
            <w:r>
              <w:rPr>
                <w:b/>
                <w:spacing w:val="-2"/>
                <w:sz w:val="20"/>
              </w:rPr>
              <w:t> resultados</w:t>
            </w:r>
          </w:p>
        </w:tc>
        <w:tc>
          <w:tcPr>
            <w:tcW w:w="1149" w:type="dxa"/>
            <w:gridSpan w:val="2"/>
          </w:tcPr>
          <w:p>
            <w:pPr>
              <w:pStyle w:val="TableParagraph"/>
              <w:rPr>
                <w:sz w:val="20"/>
              </w:rPr>
            </w:pPr>
          </w:p>
        </w:tc>
        <w:tc>
          <w:tcPr>
            <w:tcW w:w="1618" w:type="dxa"/>
            <w:tcBorders>
              <w:bottom w:val="single" w:sz="8" w:space="0" w:color="000000"/>
            </w:tcBorders>
          </w:tcPr>
          <w:p>
            <w:pPr>
              <w:pStyle w:val="TableParagraph"/>
              <w:spacing w:before="17"/>
              <w:ind w:right="68"/>
              <w:jc w:val="right"/>
              <w:rPr>
                <w:b/>
                <w:sz w:val="20"/>
              </w:rPr>
            </w:pPr>
            <w:r>
              <w:rPr>
                <w:b/>
                <w:sz w:val="20"/>
              </w:rPr>
              <w:t>-</w:t>
            </w:r>
            <w:r>
              <w:rPr>
                <w:b/>
                <w:spacing w:val="-2"/>
                <w:sz w:val="20"/>
              </w:rPr>
              <w:t>228,73</w:t>
            </w:r>
          </w:p>
        </w:tc>
        <w:tc>
          <w:tcPr>
            <w:tcW w:w="220" w:type="dxa"/>
          </w:tcPr>
          <w:p>
            <w:pPr>
              <w:pStyle w:val="TableParagraph"/>
              <w:rPr>
                <w:sz w:val="20"/>
              </w:rPr>
            </w:pPr>
          </w:p>
        </w:tc>
        <w:tc>
          <w:tcPr>
            <w:tcW w:w="2241" w:type="dxa"/>
            <w:tcBorders>
              <w:bottom w:val="single" w:sz="8" w:space="0" w:color="000000"/>
            </w:tcBorders>
          </w:tcPr>
          <w:p>
            <w:pPr>
              <w:pStyle w:val="TableParagraph"/>
              <w:spacing w:before="17"/>
              <w:ind w:right="68"/>
              <w:jc w:val="right"/>
              <w:rPr>
                <w:b/>
                <w:sz w:val="20"/>
              </w:rPr>
            </w:pPr>
            <w:r>
              <w:rPr>
                <w:b/>
                <w:sz w:val="20"/>
              </w:rPr>
              <w:t>-</w:t>
            </w:r>
            <w:r>
              <w:rPr>
                <w:b/>
                <w:spacing w:val="-4"/>
                <w:sz w:val="20"/>
              </w:rPr>
              <w:t>0,04</w:t>
            </w:r>
          </w:p>
        </w:tc>
      </w:tr>
      <w:tr>
        <w:trPr>
          <w:trHeight w:val="315" w:hRule="atLeast"/>
        </w:trPr>
        <w:tc>
          <w:tcPr>
            <w:tcW w:w="3480" w:type="dxa"/>
          </w:tcPr>
          <w:p>
            <w:pPr>
              <w:pStyle w:val="TableParagraph"/>
              <w:spacing w:before="43"/>
              <w:ind w:left="50"/>
              <w:rPr>
                <w:b/>
                <w:sz w:val="20"/>
              </w:rPr>
            </w:pPr>
            <w:r>
              <w:rPr>
                <w:b/>
                <w:sz w:val="20"/>
              </w:rPr>
              <w:t>RESULTADO</w:t>
            </w:r>
            <w:r>
              <w:rPr>
                <w:b/>
                <w:spacing w:val="-4"/>
                <w:sz w:val="20"/>
              </w:rPr>
              <w:t> </w:t>
            </w:r>
            <w:r>
              <w:rPr>
                <w:b/>
                <w:sz w:val="20"/>
              </w:rPr>
              <w:t>DE</w:t>
            </w:r>
            <w:r>
              <w:rPr>
                <w:b/>
                <w:spacing w:val="-4"/>
                <w:sz w:val="20"/>
              </w:rPr>
              <w:t> </w:t>
            </w:r>
            <w:r>
              <w:rPr>
                <w:b/>
                <w:spacing w:val="-2"/>
                <w:sz w:val="20"/>
              </w:rPr>
              <w:t>EXPLOTACIÓN</w:t>
            </w:r>
          </w:p>
        </w:tc>
        <w:tc>
          <w:tcPr>
            <w:tcW w:w="1149" w:type="dxa"/>
            <w:gridSpan w:val="2"/>
          </w:tcPr>
          <w:p>
            <w:pPr>
              <w:pStyle w:val="TableParagraph"/>
              <w:rPr>
                <w:sz w:val="20"/>
              </w:rPr>
            </w:pPr>
          </w:p>
        </w:tc>
        <w:tc>
          <w:tcPr>
            <w:tcW w:w="1618" w:type="dxa"/>
            <w:tcBorders>
              <w:top w:val="single" w:sz="8" w:space="0" w:color="000000"/>
              <w:bottom w:val="single" w:sz="8" w:space="0" w:color="000000"/>
            </w:tcBorders>
          </w:tcPr>
          <w:p>
            <w:pPr>
              <w:pStyle w:val="TableParagraph"/>
              <w:spacing w:before="43"/>
              <w:ind w:right="68"/>
              <w:jc w:val="right"/>
              <w:rPr>
                <w:b/>
                <w:sz w:val="20"/>
              </w:rPr>
            </w:pPr>
            <w:r>
              <w:rPr>
                <w:b/>
                <w:spacing w:val="-4"/>
                <w:sz w:val="20"/>
              </w:rPr>
              <w:t>0,00</w:t>
            </w:r>
          </w:p>
        </w:tc>
        <w:tc>
          <w:tcPr>
            <w:tcW w:w="220" w:type="dxa"/>
          </w:tcPr>
          <w:p>
            <w:pPr>
              <w:pStyle w:val="TableParagraph"/>
              <w:rPr>
                <w:sz w:val="20"/>
              </w:rPr>
            </w:pPr>
          </w:p>
        </w:tc>
        <w:tc>
          <w:tcPr>
            <w:tcW w:w="2241" w:type="dxa"/>
            <w:tcBorders>
              <w:top w:val="single" w:sz="8" w:space="0" w:color="000000"/>
              <w:bottom w:val="single" w:sz="8" w:space="0" w:color="000000"/>
            </w:tcBorders>
          </w:tcPr>
          <w:p>
            <w:pPr>
              <w:pStyle w:val="TableParagraph"/>
              <w:spacing w:before="43"/>
              <w:ind w:right="68"/>
              <w:jc w:val="right"/>
              <w:rPr>
                <w:b/>
                <w:sz w:val="20"/>
              </w:rPr>
            </w:pPr>
            <w:r>
              <w:rPr>
                <w:b/>
                <w:spacing w:val="-4"/>
                <w:sz w:val="20"/>
              </w:rPr>
              <w:t>0,00</w:t>
            </w:r>
          </w:p>
        </w:tc>
      </w:tr>
      <w:tr>
        <w:trPr>
          <w:trHeight w:val="305" w:hRule="atLeast"/>
        </w:trPr>
        <w:tc>
          <w:tcPr>
            <w:tcW w:w="3480" w:type="dxa"/>
          </w:tcPr>
          <w:p>
            <w:pPr>
              <w:pStyle w:val="TableParagraph"/>
              <w:spacing w:before="36"/>
              <w:ind w:left="50"/>
              <w:rPr>
                <w:b/>
                <w:sz w:val="20"/>
              </w:rPr>
            </w:pPr>
            <w:r>
              <w:rPr>
                <w:b/>
                <w:sz w:val="20"/>
              </w:rPr>
              <w:t>Ingresos</w:t>
            </w:r>
            <w:r>
              <w:rPr>
                <w:b/>
                <w:spacing w:val="-6"/>
                <w:sz w:val="20"/>
              </w:rPr>
              <w:t> </w:t>
            </w:r>
            <w:r>
              <w:rPr>
                <w:b/>
                <w:spacing w:val="-2"/>
                <w:sz w:val="20"/>
              </w:rPr>
              <w:t>financieros</w:t>
            </w:r>
          </w:p>
        </w:tc>
        <w:tc>
          <w:tcPr>
            <w:tcW w:w="1149" w:type="dxa"/>
            <w:gridSpan w:val="2"/>
          </w:tcPr>
          <w:p>
            <w:pPr>
              <w:pStyle w:val="TableParagraph"/>
              <w:spacing w:before="36"/>
              <w:ind w:right="218"/>
              <w:jc w:val="center"/>
              <w:rPr>
                <w:b/>
                <w:sz w:val="20"/>
              </w:rPr>
            </w:pPr>
            <w:r>
              <w:rPr>
                <w:b/>
                <w:spacing w:val="-10"/>
                <w:sz w:val="20"/>
              </w:rPr>
              <w:t>7</w:t>
            </w:r>
          </w:p>
        </w:tc>
        <w:tc>
          <w:tcPr>
            <w:tcW w:w="1618" w:type="dxa"/>
            <w:tcBorders>
              <w:top w:val="single" w:sz="8" w:space="0" w:color="000000"/>
            </w:tcBorders>
          </w:tcPr>
          <w:p>
            <w:pPr>
              <w:pStyle w:val="TableParagraph"/>
              <w:spacing w:before="36"/>
              <w:ind w:right="67"/>
              <w:jc w:val="right"/>
              <w:rPr>
                <w:b/>
                <w:sz w:val="20"/>
              </w:rPr>
            </w:pPr>
            <w:r>
              <w:rPr>
                <w:b/>
                <w:spacing w:val="-2"/>
                <w:sz w:val="20"/>
              </w:rPr>
              <w:t>1.976.656,78</w:t>
            </w:r>
          </w:p>
        </w:tc>
        <w:tc>
          <w:tcPr>
            <w:tcW w:w="220" w:type="dxa"/>
          </w:tcPr>
          <w:p>
            <w:pPr>
              <w:pStyle w:val="TableParagraph"/>
              <w:rPr>
                <w:sz w:val="20"/>
              </w:rPr>
            </w:pPr>
          </w:p>
        </w:tc>
        <w:tc>
          <w:tcPr>
            <w:tcW w:w="2241" w:type="dxa"/>
            <w:tcBorders>
              <w:top w:val="single" w:sz="8" w:space="0" w:color="000000"/>
            </w:tcBorders>
          </w:tcPr>
          <w:p>
            <w:pPr>
              <w:pStyle w:val="TableParagraph"/>
              <w:spacing w:before="36"/>
              <w:ind w:right="68"/>
              <w:jc w:val="right"/>
              <w:rPr>
                <w:b/>
                <w:sz w:val="20"/>
              </w:rPr>
            </w:pPr>
            <w:r>
              <w:rPr>
                <w:b/>
                <w:spacing w:val="-2"/>
                <w:sz w:val="20"/>
              </w:rPr>
              <w:t>1.869.347,14</w:t>
            </w:r>
          </w:p>
        </w:tc>
      </w:tr>
      <w:tr>
        <w:trPr>
          <w:trHeight w:val="320" w:hRule="atLeast"/>
        </w:trPr>
        <w:tc>
          <w:tcPr>
            <w:tcW w:w="3480" w:type="dxa"/>
          </w:tcPr>
          <w:p>
            <w:pPr>
              <w:pStyle w:val="TableParagraph"/>
              <w:spacing w:before="31"/>
              <w:ind w:left="250"/>
              <w:rPr>
                <w:sz w:val="20"/>
              </w:rPr>
            </w:pPr>
            <w:r>
              <w:rPr>
                <w:sz w:val="20"/>
              </w:rPr>
              <w:t>Otros</w:t>
            </w:r>
            <w:r>
              <w:rPr>
                <w:spacing w:val="-3"/>
                <w:sz w:val="20"/>
              </w:rPr>
              <w:t> </w:t>
            </w:r>
            <w:r>
              <w:rPr>
                <w:sz w:val="20"/>
              </w:rPr>
              <w:t>ingresos</w:t>
            </w:r>
            <w:r>
              <w:rPr>
                <w:spacing w:val="-2"/>
                <w:sz w:val="20"/>
              </w:rPr>
              <w:t> financieros</w:t>
            </w:r>
          </w:p>
        </w:tc>
        <w:tc>
          <w:tcPr>
            <w:tcW w:w="1149" w:type="dxa"/>
            <w:gridSpan w:val="2"/>
          </w:tcPr>
          <w:p>
            <w:pPr>
              <w:pStyle w:val="TableParagraph"/>
              <w:rPr>
                <w:sz w:val="20"/>
              </w:rPr>
            </w:pPr>
          </w:p>
        </w:tc>
        <w:tc>
          <w:tcPr>
            <w:tcW w:w="1618" w:type="dxa"/>
          </w:tcPr>
          <w:p>
            <w:pPr>
              <w:pStyle w:val="TableParagraph"/>
              <w:spacing w:before="65"/>
              <w:ind w:right="67"/>
              <w:jc w:val="right"/>
              <w:rPr>
                <w:sz w:val="20"/>
              </w:rPr>
            </w:pPr>
            <w:r>
              <w:rPr>
                <w:spacing w:val="-2"/>
                <w:sz w:val="20"/>
              </w:rPr>
              <w:t>1.976.656,78</w:t>
            </w:r>
          </w:p>
        </w:tc>
        <w:tc>
          <w:tcPr>
            <w:tcW w:w="220" w:type="dxa"/>
          </w:tcPr>
          <w:p>
            <w:pPr>
              <w:pStyle w:val="TableParagraph"/>
              <w:rPr>
                <w:sz w:val="20"/>
              </w:rPr>
            </w:pPr>
          </w:p>
        </w:tc>
        <w:tc>
          <w:tcPr>
            <w:tcW w:w="2241" w:type="dxa"/>
          </w:tcPr>
          <w:p>
            <w:pPr>
              <w:pStyle w:val="TableParagraph"/>
              <w:spacing w:before="65"/>
              <w:ind w:right="68"/>
              <w:jc w:val="right"/>
              <w:rPr>
                <w:sz w:val="20"/>
              </w:rPr>
            </w:pPr>
            <w:r>
              <w:rPr>
                <w:spacing w:val="-2"/>
                <w:sz w:val="20"/>
              </w:rPr>
              <w:t>1.869.347,14</w:t>
            </w:r>
          </w:p>
        </w:tc>
      </w:tr>
      <w:tr>
        <w:trPr>
          <w:trHeight w:val="288" w:hRule="atLeast"/>
        </w:trPr>
        <w:tc>
          <w:tcPr>
            <w:tcW w:w="3480" w:type="dxa"/>
          </w:tcPr>
          <w:p>
            <w:pPr>
              <w:pStyle w:val="TableParagraph"/>
              <w:spacing w:before="17"/>
              <w:ind w:left="50"/>
              <w:rPr>
                <w:b/>
                <w:sz w:val="20"/>
              </w:rPr>
            </w:pPr>
            <w:r>
              <w:rPr>
                <w:b/>
                <w:sz w:val="20"/>
              </w:rPr>
              <w:t>Gastos</w:t>
            </w:r>
            <w:r>
              <w:rPr>
                <w:b/>
                <w:spacing w:val="-6"/>
                <w:sz w:val="20"/>
              </w:rPr>
              <w:t> </w:t>
            </w:r>
            <w:r>
              <w:rPr>
                <w:b/>
                <w:spacing w:val="-2"/>
                <w:sz w:val="20"/>
              </w:rPr>
              <w:t>financieros</w:t>
            </w:r>
          </w:p>
        </w:tc>
        <w:tc>
          <w:tcPr>
            <w:tcW w:w="1149" w:type="dxa"/>
            <w:gridSpan w:val="2"/>
          </w:tcPr>
          <w:p>
            <w:pPr>
              <w:pStyle w:val="TableParagraph"/>
              <w:spacing w:line="210" w:lineRule="exact" w:before="59"/>
              <w:ind w:left="363"/>
              <w:rPr>
                <w:b/>
                <w:sz w:val="20"/>
              </w:rPr>
            </w:pPr>
            <w:r>
              <w:rPr>
                <w:b/>
                <w:spacing w:val="-5"/>
                <w:sz w:val="20"/>
              </w:rPr>
              <w:t>14</w:t>
            </w:r>
          </w:p>
        </w:tc>
        <w:tc>
          <w:tcPr>
            <w:tcW w:w="1618" w:type="dxa"/>
            <w:tcBorders>
              <w:bottom w:val="single" w:sz="8" w:space="0" w:color="000000"/>
            </w:tcBorders>
          </w:tcPr>
          <w:p>
            <w:pPr>
              <w:pStyle w:val="TableParagraph"/>
              <w:spacing w:before="17"/>
              <w:ind w:right="67"/>
              <w:jc w:val="right"/>
              <w:rPr>
                <w:sz w:val="20"/>
              </w:rPr>
            </w:pPr>
            <w:r>
              <w:rPr>
                <w:sz w:val="20"/>
              </w:rPr>
              <w:t>-</w:t>
            </w:r>
            <w:r>
              <w:rPr>
                <w:spacing w:val="-2"/>
                <w:sz w:val="20"/>
              </w:rPr>
              <w:t>1.060.489,00</w:t>
            </w:r>
          </w:p>
        </w:tc>
        <w:tc>
          <w:tcPr>
            <w:tcW w:w="220" w:type="dxa"/>
          </w:tcPr>
          <w:p>
            <w:pPr>
              <w:pStyle w:val="TableParagraph"/>
              <w:rPr>
                <w:sz w:val="20"/>
              </w:rPr>
            </w:pPr>
          </w:p>
        </w:tc>
        <w:tc>
          <w:tcPr>
            <w:tcW w:w="2241" w:type="dxa"/>
            <w:tcBorders>
              <w:bottom w:val="single" w:sz="8" w:space="0" w:color="000000"/>
            </w:tcBorders>
          </w:tcPr>
          <w:p>
            <w:pPr>
              <w:pStyle w:val="TableParagraph"/>
              <w:spacing w:before="17"/>
              <w:ind w:right="68"/>
              <w:jc w:val="right"/>
              <w:rPr>
                <w:sz w:val="20"/>
              </w:rPr>
            </w:pPr>
            <w:r>
              <w:rPr>
                <w:sz w:val="20"/>
              </w:rPr>
              <w:t>-</w:t>
            </w:r>
            <w:r>
              <w:rPr>
                <w:spacing w:val="-2"/>
                <w:sz w:val="20"/>
              </w:rPr>
              <w:t>406.972,00</w:t>
            </w:r>
          </w:p>
        </w:tc>
      </w:tr>
      <w:tr>
        <w:trPr>
          <w:trHeight w:val="316" w:hRule="atLeast"/>
        </w:trPr>
        <w:tc>
          <w:tcPr>
            <w:tcW w:w="3480" w:type="dxa"/>
          </w:tcPr>
          <w:p>
            <w:pPr>
              <w:pStyle w:val="TableParagraph"/>
              <w:spacing w:before="43"/>
              <w:ind w:left="50"/>
              <w:rPr>
                <w:b/>
                <w:sz w:val="20"/>
              </w:rPr>
            </w:pPr>
            <w:r>
              <w:rPr>
                <w:b/>
                <w:sz w:val="20"/>
              </w:rPr>
              <w:t>RESULTADO</w:t>
            </w:r>
            <w:r>
              <w:rPr>
                <w:b/>
                <w:spacing w:val="-6"/>
                <w:sz w:val="20"/>
              </w:rPr>
              <w:t> </w:t>
            </w:r>
            <w:r>
              <w:rPr>
                <w:b/>
                <w:spacing w:val="-2"/>
                <w:sz w:val="20"/>
              </w:rPr>
              <w:t>FINANCIERO</w:t>
            </w:r>
          </w:p>
        </w:tc>
        <w:tc>
          <w:tcPr>
            <w:tcW w:w="1149" w:type="dxa"/>
            <w:gridSpan w:val="2"/>
          </w:tcPr>
          <w:p>
            <w:pPr>
              <w:pStyle w:val="TableParagraph"/>
              <w:rPr>
                <w:sz w:val="20"/>
              </w:rPr>
            </w:pPr>
          </w:p>
        </w:tc>
        <w:tc>
          <w:tcPr>
            <w:tcW w:w="1618" w:type="dxa"/>
            <w:tcBorders>
              <w:top w:val="single" w:sz="8" w:space="0" w:color="000000"/>
              <w:bottom w:val="single" w:sz="8" w:space="0" w:color="000000"/>
            </w:tcBorders>
          </w:tcPr>
          <w:p>
            <w:pPr>
              <w:pStyle w:val="TableParagraph"/>
              <w:spacing w:before="43"/>
              <w:ind w:right="67"/>
              <w:jc w:val="right"/>
              <w:rPr>
                <w:b/>
                <w:sz w:val="20"/>
              </w:rPr>
            </w:pPr>
            <w:r>
              <w:rPr>
                <w:b/>
                <w:spacing w:val="-2"/>
                <w:sz w:val="20"/>
              </w:rPr>
              <w:t>916.167,78</w:t>
            </w:r>
          </w:p>
        </w:tc>
        <w:tc>
          <w:tcPr>
            <w:tcW w:w="220" w:type="dxa"/>
          </w:tcPr>
          <w:p>
            <w:pPr>
              <w:pStyle w:val="TableParagraph"/>
              <w:rPr>
                <w:sz w:val="20"/>
              </w:rPr>
            </w:pPr>
          </w:p>
        </w:tc>
        <w:tc>
          <w:tcPr>
            <w:tcW w:w="2241" w:type="dxa"/>
            <w:tcBorders>
              <w:top w:val="single" w:sz="8" w:space="0" w:color="000000"/>
              <w:bottom w:val="single" w:sz="8" w:space="0" w:color="000000"/>
            </w:tcBorders>
          </w:tcPr>
          <w:p>
            <w:pPr>
              <w:pStyle w:val="TableParagraph"/>
              <w:spacing w:before="43"/>
              <w:ind w:right="68"/>
              <w:jc w:val="right"/>
              <w:rPr>
                <w:b/>
                <w:sz w:val="20"/>
              </w:rPr>
            </w:pPr>
            <w:r>
              <w:rPr>
                <w:b/>
                <w:spacing w:val="-2"/>
                <w:sz w:val="20"/>
              </w:rPr>
              <w:t>1.462.375,14</w:t>
            </w:r>
          </w:p>
        </w:tc>
      </w:tr>
      <w:tr>
        <w:trPr>
          <w:trHeight w:val="237" w:hRule="atLeast"/>
        </w:trPr>
        <w:tc>
          <w:tcPr>
            <w:tcW w:w="3480" w:type="dxa"/>
          </w:tcPr>
          <w:p>
            <w:pPr>
              <w:pStyle w:val="TableParagraph"/>
              <w:spacing w:line="217" w:lineRule="exact"/>
              <w:ind w:left="50"/>
              <w:rPr>
                <w:b/>
                <w:sz w:val="20"/>
              </w:rPr>
            </w:pPr>
            <w:r>
              <w:rPr>
                <w:b/>
                <w:sz w:val="20"/>
              </w:rPr>
              <w:t>RESULTADO</w:t>
            </w:r>
            <w:r>
              <w:rPr>
                <w:b/>
                <w:spacing w:val="-4"/>
                <w:sz w:val="20"/>
              </w:rPr>
              <w:t> </w:t>
            </w:r>
            <w:r>
              <w:rPr>
                <w:b/>
                <w:sz w:val="20"/>
              </w:rPr>
              <w:t>ANTES</w:t>
            </w:r>
            <w:r>
              <w:rPr>
                <w:b/>
                <w:spacing w:val="-4"/>
                <w:sz w:val="20"/>
              </w:rPr>
              <w:t> </w:t>
            </w:r>
            <w:r>
              <w:rPr>
                <w:b/>
                <w:spacing w:val="-5"/>
                <w:sz w:val="20"/>
              </w:rPr>
              <w:t>DE</w:t>
            </w:r>
          </w:p>
        </w:tc>
        <w:tc>
          <w:tcPr>
            <w:tcW w:w="929" w:type="dxa"/>
          </w:tcPr>
          <w:p>
            <w:pPr>
              <w:pStyle w:val="TableParagraph"/>
              <w:rPr>
                <w:sz w:val="16"/>
              </w:rPr>
            </w:pPr>
          </w:p>
        </w:tc>
        <w:tc>
          <w:tcPr>
            <w:tcW w:w="220" w:type="dxa"/>
          </w:tcPr>
          <w:p>
            <w:pPr>
              <w:pStyle w:val="TableParagraph"/>
              <w:rPr>
                <w:sz w:val="16"/>
              </w:rPr>
            </w:pPr>
          </w:p>
        </w:tc>
        <w:tc>
          <w:tcPr>
            <w:tcW w:w="1618" w:type="dxa"/>
          </w:tcPr>
          <w:p>
            <w:pPr>
              <w:pStyle w:val="TableParagraph"/>
              <w:spacing w:line="102" w:lineRule="exact" w:before="115"/>
              <w:ind w:right="67"/>
              <w:jc w:val="right"/>
              <w:rPr>
                <w:b/>
                <w:sz w:val="20"/>
              </w:rPr>
            </w:pPr>
            <w:r>
              <w:rPr>
                <w:b/>
                <w:spacing w:val="-2"/>
                <w:sz w:val="20"/>
              </w:rPr>
              <w:t>916.167,78</w:t>
            </w:r>
          </w:p>
        </w:tc>
        <w:tc>
          <w:tcPr>
            <w:tcW w:w="220" w:type="dxa"/>
          </w:tcPr>
          <w:p>
            <w:pPr>
              <w:pStyle w:val="TableParagraph"/>
              <w:rPr>
                <w:sz w:val="16"/>
              </w:rPr>
            </w:pPr>
          </w:p>
        </w:tc>
        <w:tc>
          <w:tcPr>
            <w:tcW w:w="2241" w:type="dxa"/>
          </w:tcPr>
          <w:p>
            <w:pPr>
              <w:pStyle w:val="TableParagraph"/>
              <w:spacing w:line="102" w:lineRule="exact" w:before="115"/>
              <w:ind w:right="68"/>
              <w:jc w:val="right"/>
              <w:rPr>
                <w:b/>
                <w:sz w:val="20"/>
              </w:rPr>
            </w:pPr>
            <w:r>
              <w:rPr>
                <w:b/>
                <w:spacing w:val="-2"/>
                <w:sz w:val="20"/>
              </w:rPr>
              <w:t>1.462.375,14</w:t>
            </w:r>
          </w:p>
        </w:tc>
      </w:tr>
      <w:tr>
        <w:trPr>
          <w:trHeight w:val="221" w:hRule="atLeast"/>
        </w:trPr>
        <w:tc>
          <w:tcPr>
            <w:tcW w:w="3480" w:type="dxa"/>
          </w:tcPr>
          <w:p>
            <w:pPr>
              <w:pStyle w:val="TableParagraph"/>
              <w:spacing w:line="201" w:lineRule="exact"/>
              <w:ind w:left="50"/>
              <w:rPr>
                <w:b/>
                <w:sz w:val="20"/>
              </w:rPr>
            </w:pPr>
            <w:r>
              <w:rPr>
                <w:b/>
                <w:spacing w:val="-2"/>
                <w:sz w:val="20"/>
              </w:rPr>
              <w:t>IMPUESTOS</w:t>
            </w:r>
          </w:p>
        </w:tc>
        <w:tc>
          <w:tcPr>
            <w:tcW w:w="1149" w:type="dxa"/>
            <w:gridSpan w:val="2"/>
          </w:tcPr>
          <w:p>
            <w:pPr>
              <w:pStyle w:val="TableParagraph"/>
              <w:rPr>
                <w:sz w:val="14"/>
              </w:rPr>
            </w:pPr>
          </w:p>
        </w:tc>
        <w:tc>
          <w:tcPr>
            <w:tcW w:w="1618" w:type="dxa"/>
            <w:tcBorders>
              <w:bottom w:val="single" w:sz="8" w:space="0" w:color="000000"/>
            </w:tcBorders>
          </w:tcPr>
          <w:p>
            <w:pPr>
              <w:pStyle w:val="TableParagraph"/>
              <w:rPr>
                <w:sz w:val="14"/>
              </w:rPr>
            </w:pPr>
          </w:p>
        </w:tc>
        <w:tc>
          <w:tcPr>
            <w:tcW w:w="220" w:type="dxa"/>
          </w:tcPr>
          <w:p>
            <w:pPr>
              <w:pStyle w:val="TableParagraph"/>
              <w:rPr>
                <w:sz w:val="14"/>
              </w:rPr>
            </w:pPr>
          </w:p>
        </w:tc>
        <w:tc>
          <w:tcPr>
            <w:tcW w:w="2241" w:type="dxa"/>
            <w:tcBorders>
              <w:bottom w:val="single" w:sz="8" w:space="0" w:color="000000"/>
            </w:tcBorders>
          </w:tcPr>
          <w:p>
            <w:pPr>
              <w:pStyle w:val="TableParagraph"/>
              <w:rPr>
                <w:sz w:val="14"/>
              </w:rPr>
            </w:pPr>
          </w:p>
        </w:tc>
      </w:tr>
      <w:tr>
        <w:trPr>
          <w:trHeight w:val="316" w:hRule="atLeast"/>
        </w:trPr>
        <w:tc>
          <w:tcPr>
            <w:tcW w:w="3480" w:type="dxa"/>
          </w:tcPr>
          <w:p>
            <w:pPr>
              <w:pStyle w:val="TableParagraph"/>
              <w:spacing w:before="43"/>
              <w:ind w:left="50"/>
              <w:rPr>
                <w:b/>
                <w:sz w:val="20"/>
              </w:rPr>
            </w:pPr>
            <w:r>
              <w:rPr>
                <w:b/>
                <w:sz w:val="20"/>
              </w:rPr>
              <w:t>Impuestos</w:t>
            </w:r>
            <w:r>
              <w:rPr>
                <w:b/>
                <w:spacing w:val="-6"/>
                <w:sz w:val="20"/>
              </w:rPr>
              <w:t> </w:t>
            </w:r>
            <w:r>
              <w:rPr>
                <w:b/>
                <w:sz w:val="20"/>
              </w:rPr>
              <w:t>sobre</w:t>
            </w:r>
            <w:r>
              <w:rPr>
                <w:b/>
                <w:spacing w:val="-5"/>
                <w:sz w:val="20"/>
              </w:rPr>
              <w:t> </w:t>
            </w:r>
            <w:r>
              <w:rPr>
                <w:b/>
                <w:spacing w:val="-2"/>
                <w:sz w:val="20"/>
              </w:rPr>
              <w:t>beneficios</w:t>
            </w:r>
          </w:p>
        </w:tc>
        <w:tc>
          <w:tcPr>
            <w:tcW w:w="1149" w:type="dxa"/>
            <w:gridSpan w:val="2"/>
          </w:tcPr>
          <w:p>
            <w:pPr>
              <w:pStyle w:val="TableParagraph"/>
              <w:spacing w:before="43"/>
              <w:ind w:left="363"/>
              <w:rPr>
                <w:b/>
                <w:sz w:val="20"/>
              </w:rPr>
            </w:pPr>
            <w:r>
              <w:rPr>
                <w:b/>
                <w:spacing w:val="-5"/>
                <w:sz w:val="20"/>
              </w:rPr>
              <w:t>12</w:t>
            </w:r>
          </w:p>
        </w:tc>
        <w:tc>
          <w:tcPr>
            <w:tcW w:w="1618" w:type="dxa"/>
            <w:tcBorders>
              <w:top w:val="single" w:sz="8" w:space="0" w:color="000000"/>
              <w:bottom w:val="single" w:sz="8" w:space="0" w:color="000000"/>
            </w:tcBorders>
          </w:tcPr>
          <w:p>
            <w:pPr>
              <w:pStyle w:val="TableParagraph"/>
              <w:spacing w:before="43"/>
              <w:ind w:right="68"/>
              <w:jc w:val="right"/>
              <w:rPr>
                <w:b/>
                <w:sz w:val="20"/>
              </w:rPr>
            </w:pPr>
            <w:r>
              <w:rPr>
                <w:b/>
                <w:sz w:val="20"/>
              </w:rPr>
              <w:t>-</w:t>
            </w:r>
            <w:r>
              <w:rPr>
                <w:b/>
                <w:spacing w:val="-2"/>
                <w:sz w:val="20"/>
              </w:rPr>
              <w:t>390.764,66</w:t>
            </w:r>
          </w:p>
        </w:tc>
        <w:tc>
          <w:tcPr>
            <w:tcW w:w="220" w:type="dxa"/>
          </w:tcPr>
          <w:p>
            <w:pPr>
              <w:pStyle w:val="TableParagraph"/>
              <w:rPr>
                <w:sz w:val="20"/>
              </w:rPr>
            </w:pPr>
          </w:p>
        </w:tc>
        <w:tc>
          <w:tcPr>
            <w:tcW w:w="2241" w:type="dxa"/>
            <w:tcBorders>
              <w:top w:val="single" w:sz="8" w:space="0" w:color="000000"/>
              <w:bottom w:val="single" w:sz="8" w:space="0" w:color="000000"/>
            </w:tcBorders>
          </w:tcPr>
          <w:p>
            <w:pPr>
              <w:pStyle w:val="TableParagraph"/>
              <w:spacing w:before="43"/>
              <w:ind w:right="68"/>
              <w:jc w:val="right"/>
              <w:rPr>
                <w:b/>
                <w:sz w:val="20"/>
              </w:rPr>
            </w:pPr>
            <w:r>
              <w:rPr>
                <w:b/>
                <w:sz w:val="20"/>
              </w:rPr>
              <w:t>-</w:t>
            </w:r>
            <w:r>
              <w:rPr>
                <w:b/>
                <w:spacing w:val="-2"/>
                <w:sz w:val="20"/>
              </w:rPr>
              <w:t>412.337,79</w:t>
            </w:r>
          </w:p>
        </w:tc>
      </w:tr>
      <w:tr>
        <w:trPr>
          <w:trHeight w:val="315" w:hRule="atLeast"/>
        </w:trPr>
        <w:tc>
          <w:tcPr>
            <w:tcW w:w="3480" w:type="dxa"/>
          </w:tcPr>
          <w:p>
            <w:pPr>
              <w:pStyle w:val="TableParagraph"/>
              <w:spacing w:before="42"/>
              <w:ind w:left="50"/>
              <w:rPr>
                <w:b/>
                <w:sz w:val="20"/>
              </w:rPr>
            </w:pPr>
            <w:r>
              <w:rPr>
                <w:b/>
                <w:sz w:val="20"/>
              </w:rPr>
              <w:t>RESULTADO</w:t>
            </w:r>
            <w:r>
              <w:rPr>
                <w:b/>
                <w:spacing w:val="-4"/>
                <w:sz w:val="20"/>
              </w:rPr>
              <w:t> </w:t>
            </w:r>
            <w:r>
              <w:rPr>
                <w:b/>
                <w:sz w:val="20"/>
              </w:rPr>
              <w:t>DEL</w:t>
            </w:r>
            <w:r>
              <w:rPr>
                <w:b/>
                <w:spacing w:val="-3"/>
                <w:sz w:val="20"/>
              </w:rPr>
              <w:t> </w:t>
            </w:r>
            <w:r>
              <w:rPr>
                <w:b/>
                <w:spacing w:val="-2"/>
                <w:sz w:val="20"/>
              </w:rPr>
              <w:t>EJERCICIO</w:t>
            </w:r>
          </w:p>
        </w:tc>
        <w:tc>
          <w:tcPr>
            <w:tcW w:w="1149" w:type="dxa"/>
            <w:gridSpan w:val="2"/>
          </w:tcPr>
          <w:p>
            <w:pPr>
              <w:pStyle w:val="TableParagraph"/>
              <w:spacing w:before="42"/>
              <w:ind w:right="218"/>
              <w:jc w:val="center"/>
              <w:rPr>
                <w:b/>
                <w:sz w:val="20"/>
              </w:rPr>
            </w:pPr>
            <w:r>
              <w:rPr>
                <w:b/>
                <w:spacing w:val="-10"/>
                <w:sz w:val="20"/>
              </w:rPr>
              <w:t>3</w:t>
            </w:r>
          </w:p>
        </w:tc>
        <w:tc>
          <w:tcPr>
            <w:tcW w:w="1618" w:type="dxa"/>
            <w:tcBorders>
              <w:top w:val="single" w:sz="8" w:space="0" w:color="000000"/>
              <w:bottom w:val="double" w:sz="6" w:space="0" w:color="000000"/>
            </w:tcBorders>
          </w:tcPr>
          <w:p>
            <w:pPr>
              <w:pStyle w:val="TableParagraph"/>
              <w:spacing w:before="42"/>
              <w:ind w:right="67"/>
              <w:jc w:val="right"/>
              <w:rPr>
                <w:b/>
                <w:sz w:val="20"/>
              </w:rPr>
            </w:pPr>
            <w:r>
              <w:rPr>
                <w:b/>
                <w:spacing w:val="-2"/>
                <w:sz w:val="20"/>
              </w:rPr>
              <w:t>525.403,12</w:t>
            </w:r>
          </w:p>
        </w:tc>
        <w:tc>
          <w:tcPr>
            <w:tcW w:w="220" w:type="dxa"/>
          </w:tcPr>
          <w:p>
            <w:pPr>
              <w:pStyle w:val="TableParagraph"/>
              <w:rPr>
                <w:sz w:val="20"/>
              </w:rPr>
            </w:pPr>
          </w:p>
        </w:tc>
        <w:tc>
          <w:tcPr>
            <w:tcW w:w="2241" w:type="dxa"/>
            <w:tcBorders>
              <w:top w:val="single" w:sz="8" w:space="0" w:color="000000"/>
              <w:bottom w:val="double" w:sz="6" w:space="0" w:color="000000"/>
            </w:tcBorders>
          </w:tcPr>
          <w:p>
            <w:pPr>
              <w:pStyle w:val="TableParagraph"/>
              <w:spacing w:before="42"/>
              <w:ind w:right="68"/>
              <w:jc w:val="right"/>
              <w:rPr>
                <w:b/>
                <w:sz w:val="20"/>
              </w:rPr>
            </w:pPr>
            <w:r>
              <w:rPr>
                <w:b/>
                <w:spacing w:val="-2"/>
                <w:sz w:val="20"/>
              </w:rPr>
              <w:t>1.050.037,35</w:t>
            </w:r>
          </w:p>
        </w:tc>
      </w:tr>
    </w:tbl>
    <w:p>
      <w:pPr>
        <w:pStyle w:val="TableParagraph"/>
        <w:spacing w:after="0"/>
        <w:jc w:val="right"/>
        <w:rPr>
          <w:b/>
          <w:sz w:val="20"/>
        </w:rPr>
        <w:sectPr>
          <w:headerReference w:type="default" r:id="rId7"/>
          <w:footerReference w:type="default" r:id="rId8"/>
          <w:pgSz w:w="11910" w:h="16840"/>
          <w:pgMar w:header="1538" w:footer="1040" w:top="1920" w:bottom="1220" w:left="708" w:right="425"/>
        </w:sectPr>
      </w:pPr>
    </w:p>
    <w:p>
      <w:pPr>
        <w:pStyle w:val="BodyText"/>
        <w:spacing w:before="187"/>
        <w:rPr>
          <w:b/>
        </w:rPr>
      </w:pPr>
    </w:p>
    <w:p>
      <w:pPr>
        <w:pStyle w:val="Heading1"/>
        <w:numPr>
          <w:ilvl w:val="0"/>
          <w:numId w:val="1"/>
        </w:numPr>
        <w:tabs>
          <w:tab w:pos="3021" w:val="left" w:leader="none"/>
        </w:tabs>
        <w:spacing w:line="240" w:lineRule="auto" w:before="0" w:after="0"/>
        <w:ind w:left="3021" w:right="0" w:hanging="358"/>
        <w:jc w:val="left"/>
      </w:pPr>
      <w:r>
        <w:rPr>
          <w:spacing w:val="-2"/>
        </w:rPr>
        <w:t>Actividad</w:t>
      </w:r>
    </w:p>
    <w:p>
      <w:pPr>
        <w:pStyle w:val="BodyText"/>
        <w:spacing w:before="12"/>
        <w:rPr>
          <w:b/>
        </w:rPr>
      </w:pPr>
    </w:p>
    <w:p>
      <w:pPr>
        <w:pStyle w:val="BodyText"/>
        <w:spacing w:line="247" w:lineRule="auto"/>
        <w:ind w:left="995" w:right="837"/>
        <w:jc w:val="both"/>
      </w:pPr>
      <w:r>
        <w:rPr>
          <w:spacing w:val="-2"/>
        </w:rPr>
        <w:t>La</w:t>
      </w:r>
      <w:r>
        <w:rPr>
          <w:spacing w:val="-7"/>
        </w:rPr>
        <w:t> </w:t>
      </w:r>
      <w:r>
        <w:rPr>
          <w:spacing w:val="-2"/>
        </w:rPr>
        <w:t>Sociedad</w:t>
      </w:r>
      <w:r>
        <w:rPr>
          <w:spacing w:val="-6"/>
        </w:rPr>
        <w:t> </w:t>
      </w:r>
      <w:r>
        <w:rPr>
          <w:spacing w:val="-2"/>
        </w:rPr>
        <w:t>Murcia</w:t>
      </w:r>
      <w:r>
        <w:rPr>
          <w:spacing w:val="-7"/>
        </w:rPr>
        <w:t> </w:t>
      </w:r>
      <w:r>
        <w:rPr>
          <w:spacing w:val="-2"/>
        </w:rPr>
        <w:t>Alta</w:t>
      </w:r>
      <w:r>
        <w:rPr>
          <w:spacing w:val="-5"/>
        </w:rPr>
        <w:t> </w:t>
      </w:r>
      <w:r>
        <w:rPr>
          <w:spacing w:val="-2"/>
        </w:rPr>
        <w:t>Velocidad,</w:t>
      </w:r>
      <w:r>
        <w:rPr>
          <w:spacing w:val="-6"/>
        </w:rPr>
        <w:t> </w:t>
      </w:r>
      <w:r>
        <w:rPr>
          <w:spacing w:val="-2"/>
        </w:rPr>
        <w:t>S.A.</w:t>
      </w:r>
      <w:r>
        <w:rPr>
          <w:spacing w:val="-6"/>
        </w:rPr>
        <w:t> </w:t>
      </w:r>
      <w:r>
        <w:rPr>
          <w:spacing w:val="-2"/>
        </w:rPr>
        <w:t>(en</w:t>
      </w:r>
      <w:r>
        <w:rPr>
          <w:spacing w:val="-6"/>
        </w:rPr>
        <w:t> </w:t>
      </w:r>
      <w:r>
        <w:rPr>
          <w:spacing w:val="-2"/>
        </w:rPr>
        <w:t>adelante</w:t>
      </w:r>
      <w:r>
        <w:rPr>
          <w:spacing w:val="-6"/>
        </w:rPr>
        <w:t> </w:t>
      </w:r>
      <w:r>
        <w:rPr>
          <w:spacing w:val="-2"/>
        </w:rPr>
        <w:t>la</w:t>
      </w:r>
      <w:r>
        <w:rPr>
          <w:spacing w:val="-7"/>
        </w:rPr>
        <w:t> </w:t>
      </w:r>
      <w:r>
        <w:rPr>
          <w:spacing w:val="-2"/>
        </w:rPr>
        <w:t>Sociedad)</w:t>
      </w:r>
      <w:r>
        <w:rPr>
          <w:spacing w:val="-6"/>
        </w:rPr>
        <w:t> </w:t>
      </w:r>
      <w:r>
        <w:rPr>
          <w:spacing w:val="-2"/>
        </w:rPr>
        <w:t>se</w:t>
      </w:r>
      <w:r>
        <w:rPr>
          <w:spacing w:val="-7"/>
        </w:rPr>
        <w:t> </w:t>
      </w:r>
      <w:r>
        <w:rPr>
          <w:spacing w:val="-2"/>
        </w:rPr>
        <w:t>constituyó</w:t>
      </w:r>
      <w:r>
        <w:rPr>
          <w:spacing w:val="-7"/>
        </w:rPr>
        <w:t> </w:t>
      </w:r>
      <w:r>
        <w:rPr>
          <w:spacing w:val="-2"/>
        </w:rPr>
        <w:t>el</w:t>
      </w:r>
      <w:r>
        <w:rPr>
          <w:spacing w:val="-7"/>
        </w:rPr>
        <w:t> </w:t>
      </w:r>
      <w:r>
        <w:rPr>
          <w:spacing w:val="-2"/>
        </w:rPr>
        <w:t>día</w:t>
      </w:r>
      <w:r>
        <w:rPr>
          <w:spacing w:val="-7"/>
        </w:rPr>
        <w:t> </w:t>
      </w:r>
      <w:r>
        <w:rPr>
          <w:spacing w:val="-2"/>
        </w:rPr>
        <w:t>12</w:t>
      </w:r>
      <w:r>
        <w:rPr>
          <w:spacing w:val="-6"/>
        </w:rPr>
        <w:t> </w:t>
      </w:r>
      <w:r>
        <w:rPr>
          <w:spacing w:val="-2"/>
        </w:rPr>
        <w:t>de</w:t>
      </w:r>
      <w:r>
        <w:rPr>
          <w:spacing w:val="-3"/>
        </w:rPr>
        <w:t> </w:t>
      </w:r>
      <w:r>
        <w:rPr>
          <w:spacing w:val="-2"/>
        </w:rPr>
        <w:t>diciembre </w:t>
      </w:r>
      <w:r>
        <w:rPr/>
        <w:t>de 2006 por tiempo indefinido mediante escritura pública otorgada ante el Notario de Murcia D. Francisco Javier Clavel Escribano, con el número 4.704 de Orden de su Protocolo, no habiendo modificado su denominación desde su constitución.</w:t>
      </w:r>
    </w:p>
    <w:p>
      <w:pPr>
        <w:pStyle w:val="BodyText"/>
        <w:spacing w:line="247" w:lineRule="auto" w:before="218"/>
        <w:ind w:left="995" w:right="846"/>
        <w:jc w:val="both"/>
      </w:pPr>
      <w:r>
        <w:rPr/>
        <w:t>Con fecha 7 de febrero de 2024, el Consejo de Administración aprobó la modificación del domicilio social de Plaza de las Balsas nº1, 2ª planta, Murcia a Gran Vía Alfonso X El Sabio nº6, 1ª planta, Murcia. En consecuencia, el Consejo de Administración aprobó la modificación de los estatutos sociales a fin de hacer constar el nuevo domicilio social. El cambio de domicilio social fue elevado a escritura</w:t>
      </w:r>
      <w:r>
        <w:rPr>
          <w:spacing w:val="-13"/>
        </w:rPr>
        <w:t> </w:t>
      </w:r>
      <w:r>
        <w:rPr/>
        <w:t>pública</w:t>
      </w:r>
      <w:r>
        <w:rPr>
          <w:spacing w:val="-13"/>
        </w:rPr>
        <w:t> </w:t>
      </w:r>
      <w:r>
        <w:rPr/>
        <w:t>ante</w:t>
      </w:r>
      <w:r>
        <w:rPr>
          <w:spacing w:val="-13"/>
        </w:rPr>
        <w:t> </w:t>
      </w:r>
      <w:r>
        <w:rPr/>
        <w:t>el</w:t>
      </w:r>
      <w:r>
        <w:rPr>
          <w:spacing w:val="-12"/>
        </w:rPr>
        <w:t> </w:t>
      </w:r>
      <w:r>
        <w:rPr/>
        <w:t>notario</w:t>
      </w:r>
      <w:r>
        <w:rPr>
          <w:spacing w:val="-12"/>
        </w:rPr>
        <w:t> </w:t>
      </w:r>
      <w:r>
        <w:rPr/>
        <w:t>de</w:t>
      </w:r>
      <w:r>
        <w:rPr>
          <w:spacing w:val="-14"/>
        </w:rPr>
        <w:t> </w:t>
      </w:r>
      <w:r>
        <w:rPr/>
        <w:t>Madrid,</w:t>
      </w:r>
      <w:r>
        <w:rPr>
          <w:spacing w:val="-11"/>
        </w:rPr>
        <w:t> </w:t>
      </w:r>
      <w:r>
        <w:rPr/>
        <w:t>Miguel</w:t>
      </w:r>
      <w:r>
        <w:rPr>
          <w:spacing w:val="-11"/>
        </w:rPr>
        <w:t> </w:t>
      </w:r>
      <w:r>
        <w:rPr/>
        <w:t>Mestanza</w:t>
      </w:r>
      <w:r>
        <w:rPr>
          <w:spacing w:val="-14"/>
        </w:rPr>
        <w:t> </w:t>
      </w:r>
      <w:r>
        <w:rPr/>
        <w:t>Iturmendi,</w:t>
      </w:r>
      <w:r>
        <w:rPr>
          <w:spacing w:val="-11"/>
        </w:rPr>
        <w:t> </w:t>
      </w:r>
      <w:r>
        <w:rPr/>
        <w:t>con</w:t>
      </w:r>
      <w:r>
        <w:rPr>
          <w:spacing w:val="-14"/>
        </w:rPr>
        <w:t> </w:t>
      </w:r>
      <w:r>
        <w:rPr/>
        <w:t>número</w:t>
      </w:r>
      <w:r>
        <w:rPr>
          <w:spacing w:val="-11"/>
        </w:rPr>
        <w:t> </w:t>
      </w:r>
      <w:r>
        <w:rPr/>
        <w:t>de</w:t>
      </w:r>
      <w:r>
        <w:rPr>
          <w:spacing w:val="-14"/>
        </w:rPr>
        <w:t> </w:t>
      </w:r>
      <w:r>
        <w:rPr/>
        <w:t>protocolo</w:t>
      </w:r>
      <w:r>
        <w:rPr>
          <w:spacing w:val="-11"/>
        </w:rPr>
        <w:t> </w:t>
      </w:r>
      <w:r>
        <w:rPr/>
        <w:t>670.</w:t>
      </w:r>
    </w:p>
    <w:p>
      <w:pPr>
        <w:pStyle w:val="BodyText"/>
        <w:spacing w:line="247" w:lineRule="auto" w:before="209"/>
        <w:ind w:left="995" w:right="838"/>
        <w:jc w:val="both"/>
      </w:pPr>
      <w:r>
        <w:rPr/>
        <w:t>Con fecha 22 de junio de 2006, el Ministerio de Fomento (actualmente Ministerio de Transportes y Movilidad</w:t>
      </w:r>
      <w:r>
        <w:rPr>
          <w:spacing w:val="-7"/>
        </w:rPr>
        <w:t> </w:t>
      </w:r>
      <w:r>
        <w:rPr/>
        <w:t>Sostenible),</w:t>
      </w:r>
      <w:r>
        <w:rPr>
          <w:spacing w:val="-9"/>
        </w:rPr>
        <w:t> </w:t>
      </w:r>
      <w:r>
        <w:rPr/>
        <w:t>la</w:t>
      </w:r>
      <w:r>
        <w:rPr>
          <w:spacing w:val="-7"/>
        </w:rPr>
        <w:t> </w:t>
      </w:r>
      <w:r>
        <w:rPr/>
        <w:t>Comunidad</w:t>
      </w:r>
      <w:r>
        <w:rPr>
          <w:spacing w:val="-7"/>
        </w:rPr>
        <w:t> </w:t>
      </w:r>
      <w:r>
        <w:rPr/>
        <w:t>Autónoma</w:t>
      </w:r>
      <w:r>
        <w:rPr>
          <w:spacing w:val="-7"/>
        </w:rPr>
        <w:t> </w:t>
      </w:r>
      <w:r>
        <w:rPr/>
        <w:t>de</w:t>
      </w:r>
      <w:r>
        <w:rPr>
          <w:spacing w:val="-10"/>
        </w:rPr>
        <w:t> </w:t>
      </w:r>
      <w:r>
        <w:rPr/>
        <w:t>la</w:t>
      </w:r>
      <w:r>
        <w:rPr>
          <w:spacing w:val="-11"/>
        </w:rPr>
        <w:t> </w:t>
      </w:r>
      <w:r>
        <w:rPr/>
        <w:t>Región</w:t>
      </w:r>
      <w:r>
        <w:rPr>
          <w:spacing w:val="-7"/>
        </w:rPr>
        <w:t> </w:t>
      </w:r>
      <w:r>
        <w:rPr/>
        <w:t>de</w:t>
      </w:r>
      <w:r>
        <w:rPr>
          <w:spacing w:val="-7"/>
        </w:rPr>
        <w:t> </w:t>
      </w:r>
      <w:r>
        <w:rPr/>
        <w:t>Murcia,</w:t>
      </w:r>
      <w:r>
        <w:rPr>
          <w:spacing w:val="-8"/>
        </w:rPr>
        <w:t> </w:t>
      </w:r>
      <w:r>
        <w:rPr/>
        <w:t>el</w:t>
      </w:r>
      <w:r>
        <w:rPr>
          <w:spacing w:val="-7"/>
        </w:rPr>
        <w:t> </w:t>
      </w:r>
      <w:r>
        <w:rPr/>
        <w:t>Ayuntamiento</w:t>
      </w:r>
      <w:r>
        <w:rPr>
          <w:spacing w:val="-7"/>
        </w:rPr>
        <w:t> </w:t>
      </w:r>
      <w:r>
        <w:rPr/>
        <w:t>de</w:t>
      </w:r>
      <w:r>
        <w:rPr>
          <w:spacing w:val="-11"/>
        </w:rPr>
        <w:t> </w:t>
      </w:r>
      <w:r>
        <w:rPr/>
        <w:t>Murcia, y</w:t>
      </w:r>
      <w:r>
        <w:rPr>
          <w:spacing w:val="-13"/>
        </w:rPr>
        <w:t> </w:t>
      </w:r>
      <w:r>
        <w:rPr/>
        <w:t>el</w:t>
      </w:r>
      <w:r>
        <w:rPr>
          <w:spacing w:val="-13"/>
        </w:rPr>
        <w:t> </w:t>
      </w:r>
      <w:r>
        <w:rPr/>
        <w:t>Administrador</w:t>
      </w:r>
      <w:r>
        <w:rPr>
          <w:spacing w:val="-12"/>
        </w:rPr>
        <w:t> </w:t>
      </w:r>
      <w:r>
        <w:rPr/>
        <w:t>de</w:t>
      </w:r>
      <w:r>
        <w:rPr>
          <w:spacing w:val="-13"/>
        </w:rPr>
        <w:t> </w:t>
      </w:r>
      <w:r>
        <w:rPr/>
        <w:t>Infraestructuras</w:t>
      </w:r>
      <w:r>
        <w:rPr>
          <w:spacing w:val="-13"/>
        </w:rPr>
        <w:t> </w:t>
      </w:r>
      <w:r>
        <w:rPr/>
        <w:t>Ferroviarias</w:t>
      </w:r>
      <w:r>
        <w:rPr>
          <w:spacing w:val="-13"/>
        </w:rPr>
        <w:t> </w:t>
      </w:r>
      <w:r>
        <w:rPr/>
        <w:t>(ADIF),</w:t>
      </w:r>
      <w:r>
        <w:rPr>
          <w:spacing w:val="-13"/>
        </w:rPr>
        <w:t> </w:t>
      </w:r>
      <w:r>
        <w:rPr/>
        <w:t>suscribieron</w:t>
      </w:r>
      <w:r>
        <w:rPr>
          <w:spacing w:val="-12"/>
        </w:rPr>
        <w:t> </w:t>
      </w:r>
      <w:r>
        <w:rPr/>
        <w:t>un</w:t>
      </w:r>
      <w:r>
        <w:rPr>
          <w:spacing w:val="-13"/>
        </w:rPr>
        <w:t> </w:t>
      </w:r>
      <w:r>
        <w:rPr/>
        <w:t>Acuerdo</w:t>
      </w:r>
      <w:r>
        <w:rPr>
          <w:spacing w:val="-12"/>
        </w:rPr>
        <w:t> </w:t>
      </w:r>
      <w:r>
        <w:rPr/>
        <w:t>para</w:t>
      </w:r>
      <w:r>
        <w:rPr>
          <w:spacing w:val="-13"/>
        </w:rPr>
        <w:t> </w:t>
      </w:r>
      <w:r>
        <w:rPr/>
        <w:t>el</w:t>
      </w:r>
      <w:r>
        <w:rPr>
          <w:spacing w:val="-13"/>
        </w:rPr>
        <w:t> </w:t>
      </w:r>
      <w:r>
        <w:rPr/>
        <w:t>desarrollo de las actuaciones relativas a la red de Alta Velocidad en la ciudad de Murcia y la correspondiente remodelación de las infraestructuras ferroviarias. El mismo acuerdo preveía la constitución de esta Sociedad con el fin de facilitar la coordinación y ejecución de las actuaciones correspondientes a la ordenación ferroviaria y de transporte público, y promover y gestionar la transformación urbanística derivada de las obras de remodelación del sistema ferroviario en Murcia.</w:t>
      </w:r>
    </w:p>
    <w:p>
      <w:pPr>
        <w:pStyle w:val="BodyText"/>
        <w:spacing w:line="247" w:lineRule="auto" w:before="209"/>
        <w:ind w:left="995" w:right="840"/>
        <w:jc w:val="both"/>
      </w:pPr>
      <w:r>
        <w:rPr/>
        <w:t>La Sociedad tiene por objeto llevar a cabo la coordinación de las actuaciones correspondientes a la remodelación de la Red Arterial Ferroviaria de la ciudad de Murcia, en el marco constituido por el “Plan Estratégico de Infraestructuras y Transporte (PEIT) 2005-2020”, así como la coordinación de aquellas actuaciones relativas a la transformación urbanística de los suelos ferroviarios de titularidad estatal que resulten innecesarios para la explotación ferroviaria como consecuencia del desarrollo de dichas actuaciones de remodelación, todo ello de conformidad con lo dispuesto en el “Protocolo de Colaboración entre el Ministerio de Fomento (actualmente Ministerio de Transportes y Movilidad Sostenible), la Comunidad Autónoma de la Región de Murcia, el Ayuntamiento de Murcia y el Administrador de Infraestructuras Ferroviarias (ADIF), para la Remodelación de la Red Arterial Ferroviaria de la Ciudad de Murcia”.</w:t>
      </w:r>
    </w:p>
    <w:p>
      <w:pPr>
        <w:pStyle w:val="BodyText"/>
        <w:spacing w:line="247" w:lineRule="auto" w:before="207"/>
        <w:ind w:left="995" w:right="837"/>
        <w:jc w:val="both"/>
      </w:pPr>
      <w:r>
        <w:rPr/>
        <w:t>Con</w:t>
      </w:r>
      <w:r>
        <w:rPr>
          <w:spacing w:val="-5"/>
        </w:rPr>
        <w:t> </w:t>
      </w:r>
      <w:r>
        <w:rPr/>
        <w:t>fecha</w:t>
      </w:r>
      <w:r>
        <w:rPr>
          <w:spacing w:val="-6"/>
        </w:rPr>
        <w:t> </w:t>
      </w:r>
      <w:r>
        <w:rPr/>
        <w:t>17</w:t>
      </w:r>
      <w:r>
        <w:rPr>
          <w:spacing w:val="-6"/>
        </w:rPr>
        <w:t> </w:t>
      </w:r>
      <w:r>
        <w:rPr/>
        <w:t>de</w:t>
      </w:r>
      <w:r>
        <w:rPr>
          <w:spacing w:val="-6"/>
        </w:rPr>
        <w:t> </w:t>
      </w:r>
      <w:r>
        <w:rPr/>
        <w:t>mayo</w:t>
      </w:r>
      <w:r>
        <w:rPr>
          <w:spacing w:val="-5"/>
        </w:rPr>
        <w:t> </w:t>
      </w:r>
      <w:r>
        <w:rPr/>
        <w:t>de</w:t>
      </w:r>
      <w:r>
        <w:rPr>
          <w:spacing w:val="-7"/>
        </w:rPr>
        <w:t> </w:t>
      </w:r>
      <w:r>
        <w:rPr/>
        <w:t>2019</w:t>
      </w:r>
      <w:r>
        <w:rPr>
          <w:spacing w:val="-6"/>
        </w:rPr>
        <w:t> </w:t>
      </w:r>
      <w:r>
        <w:rPr/>
        <w:t>se</w:t>
      </w:r>
      <w:r>
        <w:rPr>
          <w:spacing w:val="-6"/>
        </w:rPr>
        <w:t> </w:t>
      </w:r>
      <w:r>
        <w:rPr/>
        <w:t>firmó</w:t>
      </w:r>
      <w:r>
        <w:rPr>
          <w:spacing w:val="-7"/>
        </w:rPr>
        <w:t> </w:t>
      </w:r>
      <w:r>
        <w:rPr/>
        <w:t>la</w:t>
      </w:r>
      <w:r>
        <w:rPr>
          <w:spacing w:val="-6"/>
        </w:rPr>
        <w:t> </w:t>
      </w:r>
      <w:r>
        <w:rPr/>
        <w:t>“Adenda</w:t>
      </w:r>
      <w:r>
        <w:rPr>
          <w:spacing w:val="-6"/>
        </w:rPr>
        <w:t> </w:t>
      </w:r>
      <w:r>
        <w:rPr/>
        <w:t>Modificativa</w:t>
      </w:r>
      <w:r>
        <w:rPr>
          <w:spacing w:val="-5"/>
        </w:rPr>
        <w:t> </w:t>
      </w:r>
      <w:r>
        <w:rPr/>
        <w:t>del</w:t>
      </w:r>
      <w:r>
        <w:rPr>
          <w:spacing w:val="-4"/>
        </w:rPr>
        <w:t> </w:t>
      </w:r>
      <w:r>
        <w:rPr/>
        <w:t>Convenio</w:t>
      </w:r>
      <w:r>
        <w:rPr>
          <w:spacing w:val="-6"/>
        </w:rPr>
        <w:t> </w:t>
      </w:r>
      <w:r>
        <w:rPr/>
        <w:t>suscrito</w:t>
      </w:r>
      <w:r>
        <w:rPr>
          <w:spacing w:val="-5"/>
        </w:rPr>
        <w:t> </w:t>
      </w:r>
      <w:r>
        <w:rPr/>
        <w:t>el</w:t>
      </w:r>
      <w:r>
        <w:rPr>
          <w:spacing w:val="-4"/>
        </w:rPr>
        <w:t> </w:t>
      </w:r>
      <w:r>
        <w:rPr/>
        <w:t>22</w:t>
      </w:r>
      <w:r>
        <w:rPr>
          <w:spacing w:val="-6"/>
        </w:rPr>
        <w:t> </w:t>
      </w:r>
      <w:r>
        <w:rPr/>
        <w:t>de</w:t>
      </w:r>
      <w:r>
        <w:rPr>
          <w:spacing w:val="-6"/>
        </w:rPr>
        <w:t> </w:t>
      </w:r>
      <w:r>
        <w:rPr/>
        <w:t>junio de</w:t>
      </w:r>
      <w:r>
        <w:rPr>
          <w:spacing w:val="-3"/>
        </w:rPr>
        <w:t> </w:t>
      </w:r>
      <w:r>
        <w:rPr/>
        <w:t>2006</w:t>
      </w:r>
      <w:r>
        <w:rPr>
          <w:spacing w:val="-2"/>
        </w:rPr>
        <w:t> </w:t>
      </w:r>
      <w:r>
        <w:rPr/>
        <w:t>para</w:t>
      </w:r>
      <w:r>
        <w:rPr>
          <w:spacing w:val="-2"/>
        </w:rPr>
        <w:t> </w:t>
      </w:r>
      <w:r>
        <w:rPr/>
        <w:t>la</w:t>
      </w:r>
      <w:r>
        <w:rPr>
          <w:spacing w:val="-4"/>
        </w:rPr>
        <w:t> </w:t>
      </w:r>
      <w:r>
        <w:rPr/>
        <w:t>remodelación de</w:t>
      </w:r>
      <w:r>
        <w:rPr>
          <w:spacing w:val="-3"/>
        </w:rPr>
        <w:t> </w:t>
      </w:r>
      <w:r>
        <w:rPr/>
        <w:t>la</w:t>
      </w:r>
      <w:r>
        <w:rPr>
          <w:spacing w:val="-4"/>
        </w:rPr>
        <w:t> </w:t>
      </w:r>
      <w:r>
        <w:rPr/>
        <w:t>Red Arterial</w:t>
      </w:r>
      <w:r>
        <w:rPr>
          <w:spacing w:val="-1"/>
        </w:rPr>
        <w:t> </w:t>
      </w:r>
      <w:r>
        <w:rPr/>
        <w:t>Ferroviaria</w:t>
      </w:r>
      <w:r>
        <w:rPr>
          <w:spacing w:val="-3"/>
        </w:rPr>
        <w:t> </w:t>
      </w:r>
      <w:r>
        <w:rPr/>
        <w:t>de</w:t>
      </w:r>
      <w:r>
        <w:rPr>
          <w:spacing w:val="-4"/>
        </w:rPr>
        <w:t> </w:t>
      </w:r>
      <w:r>
        <w:rPr/>
        <w:t>la</w:t>
      </w:r>
      <w:r>
        <w:rPr>
          <w:spacing w:val="-3"/>
        </w:rPr>
        <w:t> </w:t>
      </w:r>
      <w:r>
        <w:rPr/>
        <w:t>ciudad</w:t>
      </w:r>
      <w:r>
        <w:rPr>
          <w:spacing w:val="-1"/>
        </w:rPr>
        <w:t> </w:t>
      </w:r>
      <w:r>
        <w:rPr/>
        <w:t>de</w:t>
      </w:r>
      <w:r>
        <w:rPr>
          <w:spacing w:val="-4"/>
        </w:rPr>
        <w:t> </w:t>
      </w:r>
      <w:r>
        <w:rPr/>
        <w:t>Murcia”,</w:t>
      </w:r>
      <w:r>
        <w:rPr>
          <w:spacing w:val="-1"/>
        </w:rPr>
        <w:t> </w:t>
      </w:r>
      <w:r>
        <w:rPr/>
        <w:t>con</w:t>
      </w:r>
      <w:r>
        <w:rPr>
          <w:spacing w:val="-3"/>
        </w:rPr>
        <w:t> </w:t>
      </w:r>
      <w:r>
        <w:rPr/>
        <w:t>el</w:t>
      </w:r>
      <w:r>
        <w:rPr>
          <w:spacing w:val="-1"/>
        </w:rPr>
        <w:t> </w:t>
      </w:r>
      <w:r>
        <w:rPr/>
        <w:t>objeto</w:t>
      </w:r>
      <w:r>
        <w:rPr>
          <w:spacing w:val="-2"/>
        </w:rPr>
        <w:t> </w:t>
      </w:r>
      <w:r>
        <w:rPr/>
        <w:t>de establecer los mecanismos de colaboración para establecer un nuevo planteamiento económico-financiero</w:t>
      </w:r>
      <w:r>
        <w:rPr>
          <w:spacing w:val="-7"/>
        </w:rPr>
        <w:t> </w:t>
      </w:r>
      <w:r>
        <w:rPr/>
        <w:t>de</w:t>
      </w:r>
      <w:r>
        <w:rPr>
          <w:spacing w:val="-7"/>
        </w:rPr>
        <w:t> </w:t>
      </w:r>
      <w:r>
        <w:rPr/>
        <w:t>gestión</w:t>
      </w:r>
      <w:r>
        <w:rPr>
          <w:spacing w:val="-7"/>
        </w:rPr>
        <w:t> </w:t>
      </w:r>
      <w:r>
        <w:rPr/>
        <w:t>compartida</w:t>
      </w:r>
      <w:r>
        <w:rPr>
          <w:spacing w:val="-9"/>
        </w:rPr>
        <w:t> </w:t>
      </w:r>
      <w:r>
        <w:rPr/>
        <w:t>entre</w:t>
      </w:r>
      <w:r>
        <w:rPr>
          <w:spacing w:val="-8"/>
        </w:rPr>
        <w:t> </w:t>
      </w:r>
      <w:r>
        <w:rPr/>
        <w:t>los</w:t>
      </w:r>
      <w:r>
        <w:rPr>
          <w:spacing w:val="-8"/>
        </w:rPr>
        <w:t> </w:t>
      </w:r>
      <w:r>
        <w:rPr/>
        <w:t>accionistas</w:t>
      </w:r>
      <w:r>
        <w:rPr>
          <w:spacing w:val="-7"/>
        </w:rPr>
        <w:t> </w:t>
      </w:r>
      <w:r>
        <w:rPr/>
        <w:t>basado</w:t>
      </w:r>
      <w:r>
        <w:rPr>
          <w:spacing w:val="-7"/>
        </w:rPr>
        <w:t> </w:t>
      </w:r>
      <w:r>
        <w:rPr/>
        <w:t>en</w:t>
      </w:r>
      <w:r>
        <w:rPr>
          <w:spacing w:val="-7"/>
        </w:rPr>
        <w:t> </w:t>
      </w:r>
      <w:r>
        <w:rPr/>
        <w:t>una</w:t>
      </w:r>
      <w:r>
        <w:rPr>
          <w:spacing w:val="-8"/>
        </w:rPr>
        <w:t> </w:t>
      </w:r>
      <w:r>
        <w:rPr/>
        <w:t>programación</w:t>
      </w:r>
      <w:r>
        <w:rPr>
          <w:spacing w:val="-6"/>
        </w:rPr>
        <w:t> </w:t>
      </w:r>
      <w:r>
        <w:rPr/>
        <w:t>presupuestaria</w:t>
      </w:r>
      <w:r>
        <w:rPr>
          <w:spacing w:val="-8"/>
        </w:rPr>
        <w:t> </w:t>
      </w:r>
      <w:r>
        <w:rPr/>
        <w:t>que cada socio debe materializar en su propio escenario presupuestario plurianual debiéndose ajustar en todos los casos al culminar con las actuaciones programadas.</w:t>
      </w:r>
    </w:p>
    <w:p>
      <w:pPr>
        <w:pStyle w:val="BodyText"/>
        <w:spacing w:line="244" w:lineRule="auto" w:before="210"/>
        <w:ind w:left="995" w:right="842"/>
        <w:jc w:val="both"/>
      </w:pPr>
      <w:r>
        <w:rPr/>
        <w:t>Con</w:t>
      </w:r>
      <w:r>
        <w:rPr>
          <w:spacing w:val="-5"/>
        </w:rPr>
        <w:t> </w:t>
      </w:r>
      <w:r>
        <w:rPr/>
        <w:t>fecha</w:t>
      </w:r>
      <w:r>
        <w:rPr>
          <w:spacing w:val="-6"/>
        </w:rPr>
        <w:t> </w:t>
      </w:r>
      <w:r>
        <w:rPr/>
        <w:t>23</w:t>
      </w:r>
      <w:r>
        <w:rPr>
          <w:spacing w:val="-7"/>
        </w:rPr>
        <w:t> </w:t>
      </w:r>
      <w:r>
        <w:rPr/>
        <w:t>de</w:t>
      </w:r>
      <w:r>
        <w:rPr>
          <w:spacing w:val="-6"/>
        </w:rPr>
        <w:t> </w:t>
      </w:r>
      <w:r>
        <w:rPr/>
        <w:t>diciembre</w:t>
      </w:r>
      <w:r>
        <w:rPr>
          <w:spacing w:val="-5"/>
        </w:rPr>
        <w:t> </w:t>
      </w:r>
      <w:r>
        <w:rPr/>
        <w:t>de</w:t>
      </w:r>
      <w:r>
        <w:rPr>
          <w:spacing w:val="-6"/>
        </w:rPr>
        <w:t> </w:t>
      </w:r>
      <w:r>
        <w:rPr/>
        <w:t>2021,</w:t>
      </w:r>
      <w:r>
        <w:rPr>
          <w:spacing w:val="-6"/>
        </w:rPr>
        <w:t> </w:t>
      </w:r>
      <w:r>
        <w:rPr/>
        <w:t>la</w:t>
      </w:r>
      <w:r>
        <w:rPr>
          <w:spacing w:val="-6"/>
        </w:rPr>
        <w:t> </w:t>
      </w:r>
      <w:r>
        <w:rPr/>
        <w:t>Junta</w:t>
      </w:r>
      <w:r>
        <w:rPr>
          <w:spacing w:val="-6"/>
        </w:rPr>
        <w:t> </w:t>
      </w:r>
      <w:r>
        <w:rPr/>
        <w:t>General</w:t>
      </w:r>
      <w:r>
        <w:rPr>
          <w:spacing w:val="-6"/>
        </w:rPr>
        <w:t> </w:t>
      </w:r>
      <w:r>
        <w:rPr/>
        <w:t>de</w:t>
      </w:r>
      <w:r>
        <w:rPr>
          <w:spacing w:val="-6"/>
        </w:rPr>
        <w:t> </w:t>
      </w:r>
      <w:r>
        <w:rPr/>
        <w:t>Accionistas,</w:t>
      </w:r>
      <w:r>
        <w:rPr>
          <w:spacing w:val="-4"/>
        </w:rPr>
        <w:t> </w:t>
      </w:r>
      <w:r>
        <w:rPr/>
        <w:t>en</w:t>
      </w:r>
      <w:r>
        <w:rPr>
          <w:spacing w:val="-5"/>
        </w:rPr>
        <w:t> </w:t>
      </w:r>
      <w:r>
        <w:rPr/>
        <w:t>sesión</w:t>
      </w:r>
      <w:r>
        <w:rPr>
          <w:spacing w:val="-4"/>
        </w:rPr>
        <w:t> </w:t>
      </w:r>
      <w:r>
        <w:rPr/>
        <w:t>Extraordinaria,</w:t>
      </w:r>
      <w:r>
        <w:rPr>
          <w:spacing w:val="-6"/>
        </w:rPr>
        <w:t> </w:t>
      </w:r>
      <w:r>
        <w:rPr/>
        <w:t>aprobó derogar los estatutos vigentes hasta la fecha y aprobar los nuevos estatutos de la Sociedad.</w:t>
      </w:r>
    </w:p>
    <w:p>
      <w:pPr>
        <w:pStyle w:val="BodyText"/>
        <w:spacing w:line="247" w:lineRule="auto" w:before="216"/>
        <w:ind w:left="995" w:right="841"/>
        <w:jc w:val="both"/>
      </w:pPr>
      <w:r>
        <w:rPr/>
        <w:t>En</w:t>
      </w:r>
      <w:r>
        <w:rPr>
          <w:spacing w:val="-9"/>
        </w:rPr>
        <w:t> </w:t>
      </w:r>
      <w:r>
        <w:rPr/>
        <w:t>el</w:t>
      </w:r>
      <w:r>
        <w:rPr>
          <w:spacing w:val="-8"/>
        </w:rPr>
        <w:t> </w:t>
      </w:r>
      <w:r>
        <w:rPr/>
        <w:t>artículo</w:t>
      </w:r>
      <w:r>
        <w:rPr>
          <w:spacing w:val="-8"/>
        </w:rPr>
        <w:t> </w:t>
      </w:r>
      <w:r>
        <w:rPr/>
        <w:t>2</w:t>
      </w:r>
      <w:r>
        <w:rPr>
          <w:spacing w:val="-11"/>
        </w:rPr>
        <w:t> </w:t>
      </w:r>
      <w:r>
        <w:rPr/>
        <w:t>de</w:t>
      </w:r>
      <w:r>
        <w:rPr>
          <w:spacing w:val="-10"/>
        </w:rPr>
        <w:t> </w:t>
      </w:r>
      <w:r>
        <w:rPr/>
        <w:t>los</w:t>
      </w:r>
      <w:r>
        <w:rPr>
          <w:spacing w:val="-11"/>
        </w:rPr>
        <w:t> </w:t>
      </w:r>
      <w:r>
        <w:rPr/>
        <w:t>nuevos</w:t>
      </w:r>
      <w:r>
        <w:rPr>
          <w:spacing w:val="-9"/>
        </w:rPr>
        <w:t> </w:t>
      </w:r>
      <w:r>
        <w:rPr/>
        <w:t>estatutos</w:t>
      </w:r>
      <w:r>
        <w:rPr>
          <w:spacing w:val="-9"/>
        </w:rPr>
        <w:t> </w:t>
      </w:r>
      <w:r>
        <w:rPr/>
        <w:t>se</w:t>
      </w:r>
      <w:r>
        <w:rPr>
          <w:spacing w:val="-11"/>
        </w:rPr>
        <w:t> </w:t>
      </w:r>
      <w:r>
        <w:rPr/>
        <w:t>recoge</w:t>
      </w:r>
      <w:r>
        <w:rPr>
          <w:spacing w:val="-9"/>
        </w:rPr>
        <w:t> </w:t>
      </w:r>
      <w:r>
        <w:rPr/>
        <w:t>que:</w:t>
      </w:r>
      <w:r>
        <w:rPr>
          <w:spacing w:val="-9"/>
        </w:rPr>
        <w:t> </w:t>
      </w:r>
      <w:r>
        <w:rPr/>
        <w:t>la</w:t>
      </w:r>
      <w:r>
        <w:rPr>
          <w:spacing w:val="-10"/>
        </w:rPr>
        <w:t> </w:t>
      </w:r>
      <w:r>
        <w:rPr/>
        <w:t>Sociedad</w:t>
      </w:r>
      <w:r>
        <w:rPr>
          <w:spacing w:val="-9"/>
        </w:rPr>
        <w:t> </w:t>
      </w:r>
      <w:r>
        <w:rPr/>
        <w:t>tiene</w:t>
      </w:r>
      <w:r>
        <w:rPr>
          <w:spacing w:val="-9"/>
        </w:rPr>
        <w:t> </w:t>
      </w:r>
      <w:r>
        <w:rPr/>
        <w:t>por</w:t>
      </w:r>
      <w:r>
        <w:rPr>
          <w:spacing w:val="-9"/>
        </w:rPr>
        <w:t> </w:t>
      </w:r>
      <w:r>
        <w:rPr/>
        <w:t>objeto</w:t>
      </w:r>
      <w:r>
        <w:rPr>
          <w:spacing w:val="-8"/>
        </w:rPr>
        <w:t> </w:t>
      </w:r>
      <w:r>
        <w:rPr/>
        <w:t>social</w:t>
      </w:r>
      <w:r>
        <w:rPr>
          <w:spacing w:val="-8"/>
        </w:rPr>
        <w:t> </w:t>
      </w:r>
      <w:r>
        <w:rPr/>
        <w:t>establecer</w:t>
      </w:r>
      <w:r>
        <w:rPr>
          <w:spacing w:val="-11"/>
        </w:rPr>
        <w:t> </w:t>
      </w:r>
      <w:r>
        <w:rPr/>
        <w:t>los mecanismos adecuados</w:t>
      </w:r>
      <w:r>
        <w:rPr>
          <w:spacing w:val="-2"/>
        </w:rPr>
        <w:t> </w:t>
      </w:r>
      <w:r>
        <w:rPr/>
        <w:t>de</w:t>
      </w:r>
      <w:r>
        <w:rPr>
          <w:spacing w:val="-2"/>
        </w:rPr>
        <w:t> </w:t>
      </w:r>
      <w:r>
        <w:rPr/>
        <w:t>colaboración</w:t>
      </w:r>
      <w:r>
        <w:rPr>
          <w:spacing w:val="-1"/>
        </w:rPr>
        <w:t> </w:t>
      </w:r>
      <w:r>
        <w:rPr/>
        <w:t>entre</w:t>
      </w:r>
      <w:r>
        <w:rPr>
          <w:spacing w:val="-4"/>
        </w:rPr>
        <w:t> </w:t>
      </w:r>
      <w:r>
        <w:rPr/>
        <w:t>las</w:t>
      </w:r>
      <w:r>
        <w:rPr>
          <w:spacing w:val="-2"/>
        </w:rPr>
        <w:t> </w:t>
      </w:r>
      <w:r>
        <w:rPr/>
        <w:t>entidades</w:t>
      </w:r>
      <w:r>
        <w:rPr>
          <w:spacing w:val="-2"/>
        </w:rPr>
        <w:t> </w:t>
      </w:r>
      <w:r>
        <w:rPr/>
        <w:t>titulares</w:t>
      </w:r>
      <w:r>
        <w:rPr>
          <w:spacing w:val="-2"/>
        </w:rPr>
        <w:t> </w:t>
      </w:r>
      <w:r>
        <w:rPr/>
        <w:t>del</w:t>
      </w:r>
      <w:r>
        <w:rPr>
          <w:spacing w:val="-1"/>
        </w:rPr>
        <w:t> </w:t>
      </w:r>
      <w:r>
        <w:rPr/>
        <w:t>capital</w:t>
      </w:r>
      <w:r>
        <w:rPr>
          <w:spacing w:val="-1"/>
        </w:rPr>
        <w:t> </w:t>
      </w:r>
      <w:r>
        <w:rPr/>
        <w:t>social</w:t>
      </w:r>
      <w:r>
        <w:rPr>
          <w:spacing w:val="-1"/>
        </w:rPr>
        <w:t> </w:t>
      </w:r>
      <w:r>
        <w:rPr/>
        <w:t>con</w:t>
      </w:r>
      <w:r>
        <w:rPr>
          <w:spacing w:val="-2"/>
        </w:rPr>
        <w:t> </w:t>
      </w:r>
      <w:r>
        <w:rPr/>
        <w:t>la</w:t>
      </w:r>
      <w:r>
        <w:rPr>
          <w:spacing w:val="-2"/>
        </w:rPr>
        <w:t> </w:t>
      </w:r>
      <w:r>
        <w:rPr/>
        <w:t>finalidad de ejecutar las actuaciones correspondientes a la ordenación ferroviaria y urbanística, y cualesquiera operaciones relacionadas con la integración del ferrocarril y la remodelación de la red arterial ferroviaria en la ciudad de Murcia.</w:t>
      </w:r>
    </w:p>
    <w:p>
      <w:pPr>
        <w:pStyle w:val="BodyText"/>
        <w:spacing w:line="247" w:lineRule="auto" w:before="208"/>
        <w:ind w:left="995" w:right="838"/>
        <w:jc w:val="both"/>
      </w:pPr>
      <w:r>
        <w:rPr/>
        <w:t>Para</w:t>
      </w:r>
      <w:r>
        <w:rPr>
          <w:spacing w:val="-11"/>
        </w:rPr>
        <w:t> </w:t>
      </w:r>
      <w:r>
        <w:rPr/>
        <w:t>el</w:t>
      </w:r>
      <w:r>
        <w:rPr>
          <w:spacing w:val="-9"/>
        </w:rPr>
        <w:t> </w:t>
      </w:r>
      <w:r>
        <w:rPr/>
        <w:t>desarrollo</w:t>
      </w:r>
      <w:r>
        <w:rPr>
          <w:spacing w:val="-10"/>
        </w:rPr>
        <w:t> </w:t>
      </w:r>
      <w:r>
        <w:rPr/>
        <w:t>de</w:t>
      </w:r>
      <w:r>
        <w:rPr>
          <w:spacing w:val="-11"/>
        </w:rPr>
        <w:t> </w:t>
      </w:r>
      <w:r>
        <w:rPr/>
        <w:t>su</w:t>
      </w:r>
      <w:r>
        <w:rPr>
          <w:spacing w:val="-11"/>
        </w:rPr>
        <w:t> </w:t>
      </w:r>
      <w:r>
        <w:rPr/>
        <w:t>objeto</w:t>
      </w:r>
      <w:r>
        <w:rPr>
          <w:spacing w:val="-11"/>
        </w:rPr>
        <w:t> </w:t>
      </w:r>
      <w:r>
        <w:rPr/>
        <w:t>social,</w:t>
      </w:r>
      <w:r>
        <w:rPr>
          <w:spacing w:val="-14"/>
        </w:rPr>
        <w:t> </w:t>
      </w:r>
      <w:r>
        <w:rPr/>
        <w:t>la</w:t>
      </w:r>
      <w:r>
        <w:rPr>
          <w:spacing w:val="-9"/>
        </w:rPr>
        <w:t> </w:t>
      </w:r>
      <w:r>
        <w:rPr/>
        <w:t>Sociedad</w:t>
      </w:r>
      <w:r>
        <w:rPr>
          <w:spacing w:val="-11"/>
        </w:rPr>
        <w:t> </w:t>
      </w:r>
      <w:r>
        <w:rPr/>
        <w:t>coordinará</w:t>
      </w:r>
      <w:r>
        <w:rPr>
          <w:spacing w:val="-10"/>
        </w:rPr>
        <w:t> </w:t>
      </w:r>
      <w:r>
        <w:rPr/>
        <w:t>la</w:t>
      </w:r>
      <w:r>
        <w:rPr>
          <w:spacing w:val="-11"/>
        </w:rPr>
        <w:t> </w:t>
      </w:r>
      <w:r>
        <w:rPr/>
        <w:t>realización</w:t>
      </w:r>
      <w:r>
        <w:rPr>
          <w:spacing w:val="-11"/>
        </w:rPr>
        <w:t> </w:t>
      </w:r>
      <w:r>
        <w:rPr/>
        <w:t>de</w:t>
      </w:r>
      <w:r>
        <w:rPr>
          <w:spacing w:val="-10"/>
        </w:rPr>
        <w:t> </w:t>
      </w:r>
      <w:r>
        <w:rPr/>
        <w:t>los</w:t>
      </w:r>
      <w:r>
        <w:rPr>
          <w:spacing w:val="-10"/>
        </w:rPr>
        <w:t> </w:t>
      </w:r>
      <w:r>
        <w:rPr/>
        <w:t>estudios,</w:t>
      </w:r>
      <w:r>
        <w:rPr>
          <w:spacing w:val="-11"/>
        </w:rPr>
        <w:t> </w:t>
      </w:r>
      <w:r>
        <w:rPr/>
        <w:t>proyectos</w:t>
      </w:r>
      <w:r>
        <w:rPr>
          <w:spacing w:val="-12"/>
        </w:rPr>
        <w:t> </w:t>
      </w:r>
      <w:r>
        <w:rPr/>
        <w:t>y obras</w:t>
      </w:r>
      <w:r>
        <w:rPr>
          <w:spacing w:val="10"/>
        </w:rPr>
        <w:t> </w:t>
      </w:r>
      <w:r>
        <w:rPr/>
        <w:t>necesarios</w:t>
      </w:r>
      <w:r>
        <w:rPr>
          <w:spacing w:val="10"/>
        </w:rPr>
        <w:t> </w:t>
      </w:r>
      <w:r>
        <w:rPr/>
        <w:t>para</w:t>
      </w:r>
      <w:r>
        <w:rPr>
          <w:spacing w:val="11"/>
        </w:rPr>
        <w:t> </w:t>
      </w:r>
      <w:r>
        <w:rPr/>
        <w:t>la</w:t>
      </w:r>
      <w:r>
        <w:rPr>
          <w:spacing w:val="10"/>
        </w:rPr>
        <w:t> </w:t>
      </w:r>
      <w:r>
        <w:rPr/>
        <w:t>ejecución</w:t>
      </w:r>
      <w:r>
        <w:rPr>
          <w:spacing w:val="11"/>
        </w:rPr>
        <w:t> </w:t>
      </w:r>
      <w:r>
        <w:rPr/>
        <w:t>de</w:t>
      </w:r>
      <w:r>
        <w:rPr>
          <w:spacing w:val="11"/>
        </w:rPr>
        <w:t> </w:t>
      </w:r>
      <w:r>
        <w:rPr/>
        <w:t>las</w:t>
      </w:r>
      <w:r>
        <w:rPr>
          <w:spacing w:val="10"/>
        </w:rPr>
        <w:t> </w:t>
      </w:r>
      <w:r>
        <w:rPr/>
        <w:t>actuaciones</w:t>
      </w:r>
      <w:r>
        <w:rPr>
          <w:spacing w:val="11"/>
        </w:rPr>
        <w:t> </w:t>
      </w:r>
      <w:r>
        <w:rPr/>
        <w:t>ferroviarias,</w:t>
      </w:r>
      <w:r>
        <w:rPr>
          <w:spacing w:val="12"/>
        </w:rPr>
        <w:t> </w:t>
      </w:r>
      <w:r>
        <w:rPr/>
        <w:t>de</w:t>
      </w:r>
      <w:r>
        <w:rPr>
          <w:spacing w:val="11"/>
        </w:rPr>
        <w:t> </w:t>
      </w:r>
      <w:r>
        <w:rPr/>
        <w:t>integración</w:t>
      </w:r>
      <w:r>
        <w:rPr>
          <w:spacing w:val="11"/>
        </w:rPr>
        <w:t> </w:t>
      </w:r>
      <w:r>
        <w:rPr/>
        <w:t>y</w:t>
      </w:r>
      <w:r>
        <w:rPr>
          <w:spacing w:val="11"/>
        </w:rPr>
        <w:t> </w:t>
      </w:r>
      <w:r>
        <w:rPr/>
        <w:t>urbanísticas,</w:t>
      </w:r>
      <w:r>
        <w:rPr>
          <w:spacing w:val="11"/>
        </w:rPr>
        <w:t> </w:t>
      </w:r>
      <w:r>
        <w:rPr>
          <w:spacing w:val="-5"/>
        </w:rPr>
        <w:t>sin</w:t>
      </w:r>
    </w:p>
    <w:p>
      <w:pPr>
        <w:pStyle w:val="BodyText"/>
        <w:spacing w:after="0" w:line="247" w:lineRule="auto"/>
        <w:jc w:val="both"/>
        <w:sectPr>
          <w:headerReference w:type="default" r:id="rId9"/>
          <w:footerReference w:type="default" r:id="rId10"/>
          <w:pgSz w:w="11910" w:h="16840"/>
          <w:pgMar w:header="694" w:footer="690" w:top="1920" w:bottom="880" w:left="708" w:right="425"/>
        </w:sectPr>
      </w:pPr>
    </w:p>
    <w:p>
      <w:pPr>
        <w:pStyle w:val="BodyText"/>
        <w:spacing w:line="247" w:lineRule="auto" w:before="187"/>
        <w:ind w:left="995" w:right="837"/>
        <w:jc w:val="both"/>
      </w:pPr>
      <w:r>
        <w:rPr/>
        <w:t>perjuicio</w:t>
      </w:r>
      <w:r>
        <w:rPr>
          <w:spacing w:val="-11"/>
        </w:rPr>
        <w:t> </w:t>
      </w:r>
      <w:r>
        <w:rPr/>
        <w:t>de</w:t>
      </w:r>
      <w:r>
        <w:rPr>
          <w:spacing w:val="-11"/>
        </w:rPr>
        <w:t> </w:t>
      </w:r>
      <w:r>
        <w:rPr/>
        <w:t>las</w:t>
      </w:r>
      <w:r>
        <w:rPr>
          <w:spacing w:val="-11"/>
        </w:rPr>
        <w:t> </w:t>
      </w:r>
      <w:r>
        <w:rPr/>
        <w:t>competencias</w:t>
      </w:r>
      <w:r>
        <w:rPr>
          <w:spacing w:val="-11"/>
        </w:rPr>
        <w:t> </w:t>
      </w:r>
      <w:r>
        <w:rPr/>
        <w:t>que,</w:t>
      </w:r>
      <w:r>
        <w:rPr>
          <w:spacing w:val="-11"/>
        </w:rPr>
        <w:t> </w:t>
      </w:r>
      <w:r>
        <w:rPr/>
        <w:t>en</w:t>
      </w:r>
      <w:r>
        <w:rPr>
          <w:spacing w:val="-11"/>
        </w:rPr>
        <w:t> </w:t>
      </w:r>
      <w:r>
        <w:rPr/>
        <w:t>materia</w:t>
      </w:r>
      <w:r>
        <w:rPr>
          <w:spacing w:val="-10"/>
        </w:rPr>
        <w:t> </w:t>
      </w:r>
      <w:r>
        <w:rPr/>
        <w:t>de</w:t>
      </w:r>
      <w:r>
        <w:rPr>
          <w:spacing w:val="-11"/>
        </w:rPr>
        <w:t> </w:t>
      </w:r>
      <w:r>
        <w:rPr/>
        <w:t>ordenación</w:t>
      </w:r>
      <w:r>
        <w:rPr>
          <w:spacing w:val="-10"/>
        </w:rPr>
        <w:t> </w:t>
      </w:r>
      <w:r>
        <w:rPr/>
        <w:t>del</w:t>
      </w:r>
      <w:r>
        <w:rPr>
          <w:spacing w:val="-10"/>
        </w:rPr>
        <w:t> </w:t>
      </w:r>
      <w:r>
        <w:rPr/>
        <w:t>territorio</w:t>
      </w:r>
      <w:r>
        <w:rPr>
          <w:spacing w:val="-10"/>
        </w:rPr>
        <w:t> </w:t>
      </w:r>
      <w:r>
        <w:rPr/>
        <w:t>y</w:t>
      </w:r>
      <w:r>
        <w:rPr>
          <w:spacing w:val="-12"/>
        </w:rPr>
        <w:t> </w:t>
      </w:r>
      <w:r>
        <w:rPr/>
        <w:t>urbanismo,</w:t>
      </w:r>
      <w:r>
        <w:rPr>
          <w:spacing w:val="-10"/>
        </w:rPr>
        <w:t> </w:t>
      </w:r>
      <w:r>
        <w:rPr/>
        <w:t>corresponden</w:t>
      </w:r>
      <w:r>
        <w:rPr>
          <w:spacing w:val="-11"/>
        </w:rPr>
        <w:t> </w:t>
      </w:r>
      <w:r>
        <w:rPr/>
        <w:t>a la</w:t>
      </w:r>
      <w:r>
        <w:rPr>
          <w:spacing w:val="-2"/>
        </w:rPr>
        <w:t> </w:t>
      </w:r>
      <w:r>
        <w:rPr/>
        <w:t>Comunidad</w:t>
      </w:r>
      <w:r>
        <w:rPr>
          <w:spacing w:val="-1"/>
        </w:rPr>
        <w:t> </w:t>
      </w:r>
      <w:r>
        <w:rPr/>
        <w:t>Autónoma</w:t>
      </w:r>
      <w:r>
        <w:rPr>
          <w:spacing w:val="-3"/>
        </w:rPr>
        <w:t> </w:t>
      </w:r>
      <w:r>
        <w:rPr/>
        <w:t>de</w:t>
      </w:r>
      <w:r>
        <w:rPr>
          <w:spacing w:val="-2"/>
        </w:rPr>
        <w:t> </w:t>
      </w:r>
      <w:r>
        <w:rPr/>
        <w:t>la</w:t>
      </w:r>
      <w:r>
        <w:rPr>
          <w:spacing w:val="-2"/>
        </w:rPr>
        <w:t> </w:t>
      </w:r>
      <w:r>
        <w:rPr/>
        <w:t>Región</w:t>
      </w:r>
      <w:r>
        <w:rPr>
          <w:spacing w:val="-2"/>
        </w:rPr>
        <w:t> </w:t>
      </w:r>
      <w:r>
        <w:rPr/>
        <w:t>de</w:t>
      </w:r>
      <w:r>
        <w:rPr>
          <w:spacing w:val="-2"/>
        </w:rPr>
        <w:t> </w:t>
      </w:r>
      <w:r>
        <w:rPr/>
        <w:t>Murcia</w:t>
      </w:r>
      <w:r>
        <w:rPr>
          <w:spacing w:val="-2"/>
        </w:rPr>
        <w:t> </w:t>
      </w:r>
      <w:r>
        <w:rPr/>
        <w:t>y</w:t>
      </w:r>
      <w:r>
        <w:rPr>
          <w:spacing w:val="-1"/>
        </w:rPr>
        <w:t> </w:t>
      </w:r>
      <w:r>
        <w:rPr/>
        <w:t>al Excmo.</w:t>
      </w:r>
      <w:r>
        <w:rPr>
          <w:spacing w:val="-1"/>
        </w:rPr>
        <w:t> </w:t>
      </w:r>
      <w:r>
        <w:rPr/>
        <w:t>Ayuntamiento de</w:t>
      </w:r>
      <w:r>
        <w:rPr>
          <w:spacing w:val="-2"/>
        </w:rPr>
        <w:t> </w:t>
      </w:r>
      <w:r>
        <w:rPr/>
        <w:t>Murcia</w:t>
      </w:r>
      <w:r>
        <w:rPr>
          <w:spacing w:val="-2"/>
        </w:rPr>
        <w:t> </w:t>
      </w:r>
      <w:r>
        <w:rPr/>
        <w:t>y,</w:t>
      </w:r>
      <w:r>
        <w:rPr>
          <w:spacing w:val="-2"/>
        </w:rPr>
        <w:t> </w:t>
      </w:r>
      <w:r>
        <w:rPr/>
        <w:t>en</w:t>
      </w:r>
      <w:r>
        <w:rPr>
          <w:spacing w:val="-1"/>
        </w:rPr>
        <w:t> </w:t>
      </w:r>
      <w:r>
        <w:rPr/>
        <w:t>materia ferroviaria,</w:t>
      </w:r>
      <w:r>
        <w:rPr>
          <w:spacing w:val="-14"/>
        </w:rPr>
        <w:t> </w:t>
      </w:r>
      <w:r>
        <w:rPr/>
        <w:t>al</w:t>
      </w:r>
      <w:r>
        <w:rPr>
          <w:spacing w:val="-14"/>
        </w:rPr>
        <w:t> </w:t>
      </w:r>
      <w:r>
        <w:rPr/>
        <w:t>Ministerio</w:t>
      </w:r>
      <w:r>
        <w:rPr>
          <w:spacing w:val="-14"/>
        </w:rPr>
        <w:t> </w:t>
      </w:r>
      <w:r>
        <w:rPr/>
        <w:t>de</w:t>
      </w:r>
      <w:r>
        <w:rPr>
          <w:spacing w:val="-13"/>
        </w:rPr>
        <w:t> </w:t>
      </w:r>
      <w:r>
        <w:rPr/>
        <w:t>Transportes</w:t>
      </w:r>
      <w:r>
        <w:rPr>
          <w:spacing w:val="-14"/>
        </w:rPr>
        <w:t> </w:t>
      </w:r>
      <w:r>
        <w:rPr/>
        <w:t>y</w:t>
      </w:r>
      <w:r>
        <w:rPr>
          <w:spacing w:val="-14"/>
        </w:rPr>
        <w:t> </w:t>
      </w:r>
      <w:r>
        <w:rPr/>
        <w:t>Movilidad</w:t>
      </w:r>
      <w:r>
        <w:rPr>
          <w:spacing w:val="-14"/>
        </w:rPr>
        <w:t> </w:t>
      </w:r>
      <w:r>
        <w:rPr/>
        <w:t>Sostenible,</w:t>
      </w:r>
      <w:r>
        <w:rPr>
          <w:spacing w:val="-13"/>
        </w:rPr>
        <w:t> </w:t>
      </w:r>
      <w:r>
        <w:rPr/>
        <w:t>o</w:t>
      </w:r>
      <w:r>
        <w:rPr>
          <w:spacing w:val="-14"/>
        </w:rPr>
        <w:t> </w:t>
      </w:r>
      <w:r>
        <w:rPr/>
        <w:t>en</w:t>
      </w:r>
      <w:r>
        <w:rPr>
          <w:spacing w:val="-14"/>
        </w:rPr>
        <w:t> </w:t>
      </w:r>
      <w:r>
        <w:rPr/>
        <w:t>su</w:t>
      </w:r>
      <w:r>
        <w:rPr>
          <w:spacing w:val="-14"/>
        </w:rPr>
        <w:t> </w:t>
      </w:r>
      <w:r>
        <w:rPr/>
        <w:t>caso</w:t>
      </w:r>
      <w:r>
        <w:rPr>
          <w:spacing w:val="-13"/>
        </w:rPr>
        <w:t> </w:t>
      </w:r>
      <w:r>
        <w:rPr/>
        <w:t>al</w:t>
      </w:r>
      <w:r>
        <w:rPr>
          <w:spacing w:val="-14"/>
        </w:rPr>
        <w:t> </w:t>
      </w:r>
      <w:r>
        <w:rPr/>
        <w:t>ministerio</w:t>
      </w:r>
      <w:r>
        <w:rPr>
          <w:spacing w:val="-14"/>
        </w:rPr>
        <w:t> </w:t>
      </w:r>
      <w:r>
        <w:rPr/>
        <w:t>competente, y</w:t>
      </w:r>
      <w:r>
        <w:rPr>
          <w:spacing w:val="-6"/>
        </w:rPr>
        <w:t> </w:t>
      </w:r>
      <w:r>
        <w:rPr/>
        <w:t>a</w:t>
      </w:r>
      <w:r>
        <w:rPr>
          <w:spacing w:val="-7"/>
        </w:rPr>
        <w:t> </w:t>
      </w:r>
      <w:r>
        <w:rPr/>
        <w:t>las</w:t>
      </w:r>
      <w:r>
        <w:rPr>
          <w:spacing w:val="-8"/>
        </w:rPr>
        <w:t> </w:t>
      </w:r>
      <w:r>
        <w:rPr/>
        <w:t>entidades</w:t>
      </w:r>
      <w:r>
        <w:rPr>
          <w:spacing w:val="-6"/>
        </w:rPr>
        <w:t> </w:t>
      </w:r>
      <w:r>
        <w:rPr/>
        <w:t>públicas</w:t>
      </w:r>
      <w:r>
        <w:rPr>
          <w:spacing w:val="-7"/>
        </w:rPr>
        <w:t> </w:t>
      </w:r>
      <w:r>
        <w:rPr/>
        <w:t>empresariales</w:t>
      </w:r>
      <w:r>
        <w:rPr>
          <w:spacing w:val="-5"/>
        </w:rPr>
        <w:t> </w:t>
      </w:r>
      <w:r>
        <w:rPr/>
        <w:t>ADIF</w:t>
      </w:r>
      <w:r>
        <w:rPr>
          <w:spacing w:val="-7"/>
        </w:rPr>
        <w:t> </w:t>
      </w:r>
      <w:r>
        <w:rPr/>
        <w:t>y</w:t>
      </w:r>
      <w:r>
        <w:rPr>
          <w:spacing w:val="-7"/>
        </w:rPr>
        <w:t> </w:t>
      </w:r>
      <w:r>
        <w:rPr/>
        <w:t>ADIF</w:t>
      </w:r>
      <w:r>
        <w:rPr>
          <w:spacing w:val="-4"/>
        </w:rPr>
        <w:t> </w:t>
      </w:r>
      <w:r>
        <w:rPr/>
        <w:t>–</w:t>
      </w:r>
      <w:r>
        <w:rPr>
          <w:spacing w:val="-7"/>
        </w:rPr>
        <w:t> </w:t>
      </w:r>
      <w:r>
        <w:rPr/>
        <w:t>Alta</w:t>
      </w:r>
      <w:r>
        <w:rPr>
          <w:spacing w:val="-7"/>
        </w:rPr>
        <w:t> </w:t>
      </w:r>
      <w:r>
        <w:rPr/>
        <w:t>Velocidad.</w:t>
      </w:r>
      <w:r>
        <w:rPr>
          <w:spacing w:val="-6"/>
        </w:rPr>
        <w:t> </w:t>
      </w:r>
      <w:r>
        <w:rPr/>
        <w:t>Dichos</w:t>
      </w:r>
      <w:r>
        <w:rPr>
          <w:spacing w:val="-6"/>
        </w:rPr>
        <w:t> </w:t>
      </w:r>
      <w:r>
        <w:rPr/>
        <w:t>estudios,</w:t>
      </w:r>
      <w:r>
        <w:rPr>
          <w:spacing w:val="-6"/>
        </w:rPr>
        <w:t> </w:t>
      </w:r>
      <w:r>
        <w:rPr/>
        <w:t>proyectos</w:t>
      </w:r>
      <w:r>
        <w:rPr>
          <w:spacing w:val="-8"/>
        </w:rPr>
        <w:t> </w:t>
      </w:r>
      <w:r>
        <w:rPr/>
        <w:t>y obras serán ejecutados por el organismo competente en la materia, siendo posible, si se considera conveniente a efectos de coordinación, que las entidades titulares del capital social encarguen a la Sociedad,</w:t>
      </w:r>
      <w:r>
        <w:rPr>
          <w:spacing w:val="-14"/>
        </w:rPr>
        <w:t> </w:t>
      </w:r>
      <w:r>
        <w:rPr/>
        <w:t>mediante</w:t>
      </w:r>
      <w:r>
        <w:rPr>
          <w:spacing w:val="-14"/>
        </w:rPr>
        <w:t> </w:t>
      </w:r>
      <w:r>
        <w:rPr/>
        <w:t>los</w:t>
      </w:r>
      <w:r>
        <w:rPr>
          <w:spacing w:val="-14"/>
        </w:rPr>
        <w:t> </w:t>
      </w:r>
      <w:r>
        <w:rPr/>
        <w:t>acuerdos</w:t>
      </w:r>
      <w:r>
        <w:rPr>
          <w:spacing w:val="-13"/>
        </w:rPr>
        <w:t> </w:t>
      </w:r>
      <w:r>
        <w:rPr/>
        <w:t>que</w:t>
      </w:r>
      <w:r>
        <w:rPr>
          <w:spacing w:val="-14"/>
        </w:rPr>
        <w:t> </w:t>
      </w:r>
      <w:r>
        <w:rPr/>
        <w:t>se</w:t>
      </w:r>
      <w:r>
        <w:rPr>
          <w:spacing w:val="-14"/>
        </w:rPr>
        <w:t> </w:t>
      </w:r>
      <w:r>
        <w:rPr/>
        <w:t>establezcan,</w:t>
      </w:r>
      <w:r>
        <w:rPr>
          <w:spacing w:val="-14"/>
        </w:rPr>
        <w:t> </w:t>
      </w:r>
      <w:r>
        <w:rPr/>
        <w:t>la</w:t>
      </w:r>
      <w:r>
        <w:rPr>
          <w:spacing w:val="-13"/>
        </w:rPr>
        <w:t> </w:t>
      </w:r>
      <w:r>
        <w:rPr/>
        <w:t>redacción</w:t>
      </w:r>
      <w:r>
        <w:rPr>
          <w:spacing w:val="-14"/>
        </w:rPr>
        <w:t> </w:t>
      </w:r>
      <w:r>
        <w:rPr/>
        <w:t>de</w:t>
      </w:r>
      <w:r>
        <w:rPr>
          <w:spacing w:val="-14"/>
        </w:rPr>
        <w:t> </w:t>
      </w:r>
      <w:r>
        <w:rPr/>
        <w:t>determinados</w:t>
      </w:r>
      <w:r>
        <w:rPr>
          <w:spacing w:val="-14"/>
        </w:rPr>
        <w:t> </w:t>
      </w:r>
      <w:r>
        <w:rPr/>
        <w:t>estudios</w:t>
      </w:r>
      <w:r>
        <w:rPr>
          <w:spacing w:val="-13"/>
        </w:rPr>
        <w:t> </w:t>
      </w:r>
      <w:r>
        <w:rPr/>
        <w:t>y</w:t>
      </w:r>
      <w:r>
        <w:rPr>
          <w:spacing w:val="-14"/>
        </w:rPr>
        <w:t> </w:t>
      </w:r>
      <w:r>
        <w:rPr/>
        <w:t>proyectos y/o la ejecución de determinadas obras.</w:t>
      </w:r>
    </w:p>
    <w:p>
      <w:pPr>
        <w:pStyle w:val="BodyText"/>
        <w:spacing w:line="247" w:lineRule="auto" w:before="249"/>
        <w:ind w:left="995" w:right="840"/>
        <w:jc w:val="both"/>
      </w:pPr>
      <w:r>
        <w:rPr/>
        <w:t>Asimismo, se incluye en su objeto social la promoción y gestión del desarrollo urbanístico, participando</w:t>
      </w:r>
      <w:r>
        <w:rPr>
          <w:spacing w:val="-7"/>
        </w:rPr>
        <w:t> </w:t>
      </w:r>
      <w:r>
        <w:rPr/>
        <w:t>en</w:t>
      </w:r>
      <w:r>
        <w:rPr>
          <w:spacing w:val="-8"/>
        </w:rPr>
        <w:t> </w:t>
      </w:r>
      <w:r>
        <w:rPr/>
        <w:t>el</w:t>
      </w:r>
      <w:r>
        <w:rPr>
          <w:spacing w:val="-8"/>
        </w:rPr>
        <w:t> </w:t>
      </w:r>
      <w:r>
        <w:rPr/>
        <w:t>reparto</w:t>
      </w:r>
      <w:r>
        <w:rPr>
          <w:spacing w:val="-6"/>
        </w:rPr>
        <w:t> </w:t>
      </w:r>
      <w:r>
        <w:rPr/>
        <w:t>de</w:t>
      </w:r>
      <w:r>
        <w:rPr>
          <w:spacing w:val="-9"/>
        </w:rPr>
        <w:t> </w:t>
      </w:r>
      <w:r>
        <w:rPr/>
        <w:t>cargas</w:t>
      </w:r>
      <w:r>
        <w:rPr>
          <w:spacing w:val="-8"/>
        </w:rPr>
        <w:t> </w:t>
      </w:r>
      <w:r>
        <w:rPr/>
        <w:t>y</w:t>
      </w:r>
      <w:r>
        <w:rPr>
          <w:spacing w:val="-8"/>
        </w:rPr>
        <w:t> </w:t>
      </w:r>
      <w:r>
        <w:rPr/>
        <w:t>beneficios</w:t>
      </w:r>
      <w:r>
        <w:rPr>
          <w:spacing w:val="-7"/>
        </w:rPr>
        <w:t> </w:t>
      </w:r>
      <w:r>
        <w:rPr/>
        <w:t>derivados</w:t>
      </w:r>
      <w:r>
        <w:rPr>
          <w:spacing w:val="-8"/>
        </w:rPr>
        <w:t> </w:t>
      </w:r>
      <w:r>
        <w:rPr/>
        <w:t>del</w:t>
      </w:r>
      <w:r>
        <w:rPr>
          <w:spacing w:val="-8"/>
        </w:rPr>
        <w:t> </w:t>
      </w:r>
      <w:r>
        <w:rPr/>
        <w:t>planeamiento,</w:t>
      </w:r>
      <w:r>
        <w:rPr>
          <w:spacing w:val="-7"/>
        </w:rPr>
        <w:t> </w:t>
      </w:r>
      <w:r>
        <w:rPr/>
        <w:t>por</w:t>
      </w:r>
      <w:r>
        <w:rPr>
          <w:spacing w:val="-7"/>
        </w:rPr>
        <w:t> </w:t>
      </w:r>
      <w:r>
        <w:rPr/>
        <w:t>razón</w:t>
      </w:r>
      <w:r>
        <w:rPr>
          <w:spacing w:val="-8"/>
        </w:rPr>
        <w:t> </w:t>
      </w:r>
      <w:r>
        <w:rPr/>
        <w:t>de</w:t>
      </w:r>
      <w:r>
        <w:rPr>
          <w:spacing w:val="-9"/>
        </w:rPr>
        <w:t> </w:t>
      </w:r>
      <w:r>
        <w:rPr/>
        <w:t>los</w:t>
      </w:r>
      <w:r>
        <w:rPr>
          <w:spacing w:val="-8"/>
        </w:rPr>
        <w:t> </w:t>
      </w:r>
      <w:r>
        <w:rPr/>
        <w:t>terrenos aportados</w:t>
      </w:r>
      <w:r>
        <w:rPr>
          <w:spacing w:val="-2"/>
        </w:rPr>
        <w:t> </w:t>
      </w:r>
      <w:r>
        <w:rPr/>
        <w:t>por</w:t>
      </w:r>
      <w:r>
        <w:rPr>
          <w:spacing w:val="-2"/>
        </w:rPr>
        <w:t> </w:t>
      </w:r>
      <w:r>
        <w:rPr/>
        <w:t>los</w:t>
      </w:r>
      <w:r>
        <w:rPr>
          <w:spacing w:val="-2"/>
        </w:rPr>
        <w:t> </w:t>
      </w:r>
      <w:r>
        <w:rPr/>
        <w:t>accionistas,</w:t>
      </w:r>
      <w:r>
        <w:rPr>
          <w:spacing w:val="-2"/>
        </w:rPr>
        <w:t> </w:t>
      </w:r>
      <w:r>
        <w:rPr/>
        <w:t>así</w:t>
      </w:r>
      <w:r>
        <w:rPr>
          <w:spacing w:val="-1"/>
        </w:rPr>
        <w:t> </w:t>
      </w:r>
      <w:r>
        <w:rPr/>
        <w:t>como</w:t>
      </w:r>
      <w:r>
        <w:rPr>
          <w:spacing w:val="-1"/>
        </w:rPr>
        <w:t> </w:t>
      </w:r>
      <w:r>
        <w:rPr/>
        <w:t>la</w:t>
      </w:r>
      <w:r>
        <w:rPr>
          <w:spacing w:val="-3"/>
        </w:rPr>
        <w:t> </w:t>
      </w:r>
      <w:r>
        <w:rPr/>
        <w:t>enajenación</w:t>
      </w:r>
      <w:r>
        <w:rPr>
          <w:spacing w:val="-3"/>
        </w:rPr>
        <w:t> </w:t>
      </w:r>
      <w:r>
        <w:rPr/>
        <w:t>y,</w:t>
      </w:r>
      <w:r>
        <w:rPr>
          <w:spacing w:val="-2"/>
        </w:rPr>
        <w:t> </w:t>
      </w:r>
      <w:r>
        <w:rPr/>
        <w:t>en</w:t>
      </w:r>
      <w:r>
        <w:rPr>
          <w:spacing w:val="-2"/>
        </w:rPr>
        <w:t> </w:t>
      </w:r>
      <w:r>
        <w:rPr/>
        <w:t>su</w:t>
      </w:r>
      <w:r>
        <w:rPr>
          <w:spacing w:val="-2"/>
        </w:rPr>
        <w:t> </w:t>
      </w:r>
      <w:r>
        <w:rPr/>
        <w:t>caso, concesión por</w:t>
      </w:r>
      <w:r>
        <w:rPr>
          <w:spacing w:val="-2"/>
        </w:rPr>
        <w:t> </w:t>
      </w:r>
      <w:r>
        <w:rPr/>
        <w:t>cualquier</w:t>
      </w:r>
      <w:r>
        <w:rPr>
          <w:spacing w:val="-2"/>
        </w:rPr>
        <w:t> </w:t>
      </w:r>
      <w:r>
        <w:rPr/>
        <w:t>título</w:t>
      </w:r>
      <w:r>
        <w:rPr>
          <w:spacing w:val="-1"/>
        </w:rPr>
        <w:t> </w:t>
      </w:r>
      <w:r>
        <w:rPr/>
        <w:t>de los aprovechamientos resultantes del planeamiento urbanístico.</w:t>
      </w:r>
    </w:p>
    <w:p>
      <w:pPr>
        <w:pStyle w:val="BodyText"/>
        <w:spacing w:line="247" w:lineRule="auto" w:before="190"/>
        <w:ind w:left="995" w:right="852"/>
        <w:jc w:val="both"/>
      </w:pPr>
      <w:r>
        <w:rPr/>
        <w:t>El</w:t>
      </w:r>
      <w:r>
        <w:rPr>
          <w:spacing w:val="-14"/>
        </w:rPr>
        <w:t> </w:t>
      </w:r>
      <w:r>
        <w:rPr/>
        <w:t>objeto</w:t>
      </w:r>
      <w:r>
        <w:rPr>
          <w:spacing w:val="-14"/>
        </w:rPr>
        <w:t> </w:t>
      </w:r>
      <w:r>
        <w:rPr/>
        <w:t>social</w:t>
      </w:r>
      <w:r>
        <w:rPr>
          <w:spacing w:val="-14"/>
        </w:rPr>
        <w:t> </w:t>
      </w:r>
      <w:r>
        <w:rPr/>
        <w:t>podrá</w:t>
      </w:r>
      <w:r>
        <w:rPr>
          <w:spacing w:val="-13"/>
        </w:rPr>
        <w:t> </w:t>
      </w:r>
      <w:r>
        <w:rPr/>
        <w:t>realizarse</w:t>
      </w:r>
      <w:r>
        <w:rPr>
          <w:spacing w:val="-14"/>
        </w:rPr>
        <w:t> </w:t>
      </w:r>
      <w:r>
        <w:rPr/>
        <w:t>por</w:t>
      </w:r>
      <w:r>
        <w:rPr>
          <w:spacing w:val="-14"/>
        </w:rPr>
        <w:t> </w:t>
      </w:r>
      <w:r>
        <w:rPr/>
        <w:t>la</w:t>
      </w:r>
      <w:r>
        <w:rPr>
          <w:spacing w:val="-14"/>
        </w:rPr>
        <w:t> </w:t>
      </w:r>
      <w:r>
        <w:rPr/>
        <w:t>Sociedad,</w:t>
      </w:r>
      <w:r>
        <w:rPr>
          <w:spacing w:val="-13"/>
        </w:rPr>
        <w:t> </w:t>
      </w:r>
      <w:r>
        <w:rPr/>
        <w:t>ya</w:t>
      </w:r>
      <w:r>
        <w:rPr>
          <w:spacing w:val="-14"/>
        </w:rPr>
        <w:t> </w:t>
      </w:r>
      <w:r>
        <w:rPr/>
        <w:t>directamente,</w:t>
      </w:r>
      <w:r>
        <w:rPr>
          <w:spacing w:val="-14"/>
        </w:rPr>
        <w:t> </w:t>
      </w:r>
      <w:r>
        <w:rPr/>
        <w:t>ya</w:t>
      </w:r>
      <w:r>
        <w:rPr>
          <w:spacing w:val="-14"/>
        </w:rPr>
        <w:t> </w:t>
      </w:r>
      <w:r>
        <w:rPr/>
        <w:t>indirectamente.</w:t>
      </w:r>
      <w:r>
        <w:rPr>
          <w:spacing w:val="-13"/>
        </w:rPr>
        <w:t> </w:t>
      </w:r>
      <w:r>
        <w:rPr/>
        <w:t>Si</w:t>
      </w:r>
      <w:r>
        <w:rPr>
          <w:spacing w:val="-14"/>
        </w:rPr>
        <w:t> </w:t>
      </w:r>
      <w:r>
        <w:rPr/>
        <w:t>la</w:t>
      </w:r>
      <w:r>
        <w:rPr>
          <w:spacing w:val="-14"/>
        </w:rPr>
        <w:t> </w:t>
      </w:r>
      <w:r>
        <w:rPr/>
        <w:t>Ley</w:t>
      </w:r>
      <w:r>
        <w:rPr>
          <w:spacing w:val="-14"/>
        </w:rPr>
        <w:t> </w:t>
      </w:r>
      <w:r>
        <w:rPr/>
        <w:t>exigiere la</w:t>
      </w:r>
      <w:r>
        <w:rPr>
          <w:spacing w:val="-5"/>
        </w:rPr>
        <w:t> </w:t>
      </w:r>
      <w:r>
        <w:rPr/>
        <w:t>obtención</w:t>
      </w:r>
      <w:r>
        <w:rPr>
          <w:spacing w:val="-5"/>
        </w:rPr>
        <w:t> </w:t>
      </w:r>
      <w:r>
        <w:rPr/>
        <w:t>de</w:t>
      </w:r>
      <w:r>
        <w:rPr>
          <w:spacing w:val="-6"/>
        </w:rPr>
        <w:t> </w:t>
      </w:r>
      <w:r>
        <w:rPr/>
        <w:t>licencia</w:t>
      </w:r>
      <w:r>
        <w:rPr>
          <w:spacing w:val="-5"/>
        </w:rPr>
        <w:t> </w:t>
      </w:r>
      <w:r>
        <w:rPr/>
        <w:t>administrativa,</w:t>
      </w:r>
      <w:r>
        <w:rPr>
          <w:spacing w:val="-4"/>
        </w:rPr>
        <w:t> </w:t>
      </w:r>
      <w:r>
        <w:rPr/>
        <w:t>la</w:t>
      </w:r>
      <w:r>
        <w:rPr>
          <w:spacing w:val="-5"/>
        </w:rPr>
        <w:t> </w:t>
      </w:r>
      <w:r>
        <w:rPr/>
        <w:t>inscripción</w:t>
      </w:r>
      <w:r>
        <w:rPr>
          <w:spacing w:val="-4"/>
        </w:rPr>
        <w:t> </w:t>
      </w:r>
      <w:r>
        <w:rPr/>
        <w:t>en</w:t>
      </w:r>
      <w:r>
        <w:rPr>
          <w:spacing w:val="-4"/>
        </w:rPr>
        <w:t> </w:t>
      </w:r>
      <w:r>
        <w:rPr/>
        <w:t>un</w:t>
      </w:r>
      <w:r>
        <w:rPr>
          <w:spacing w:val="-4"/>
        </w:rPr>
        <w:t> </w:t>
      </w:r>
      <w:r>
        <w:rPr/>
        <w:t>registro</w:t>
      </w:r>
      <w:r>
        <w:rPr>
          <w:spacing w:val="-4"/>
        </w:rPr>
        <w:t> </w:t>
      </w:r>
      <w:r>
        <w:rPr/>
        <w:t>público</w:t>
      </w:r>
      <w:r>
        <w:rPr>
          <w:spacing w:val="-5"/>
        </w:rPr>
        <w:t> </w:t>
      </w:r>
      <w:r>
        <w:rPr/>
        <w:t>o</w:t>
      </w:r>
      <w:r>
        <w:rPr>
          <w:spacing w:val="-4"/>
        </w:rPr>
        <w:t> </w:t>
      </w:r>
      <w:r>
        <w:rPr/>
        <w:t>cualquier</w:t>
      </w:r>
      <w:r>
        <w:rPr>
          <w:spacing w:val="-4"/>
        </w:rPr>
        <w:t> </w:t>
      </w:r>
      <w:r>
        <w:rPr/>
        <w:t>otro</w:t>
      </w:r>
      <w:r>
        <w:rPr>
          <w:spacing w:val="-4"/>
        </w:rPr>
        <w:t> </w:t>
      </w:r>
      <w:r>
        <w:rPr/>
        <w:t>requisito para</w:t>
      </w:r>
      <w:r>
        <w:rPr>
          <w:spacing w:val="-14"/>
        </w:rPr>
        <w:t> </w:t>
      </w:r>
      <w:r>
        <w:rPr/>
        <w:t>el</w:t>
      </w:r>
      <w:r>
        <w:rPr>
          <w:spacing w:val="-14"/>
        </w:rPr>
        <w:t> </w:t>
      </w:r>
      <w:r>
        <w:rPr/>
        <w:t>inicio</w:t>
      </w:r>
      <w:r>
        <w:rPr>
          <w:spacing w:val="-14"/>
        </w:rPr>
        <w:t> </w:t>
      </w:r>
      <w:r>
        <w:rPr/>
        <w:t>de</w:t>
      </w:r>
      <w:r>
        <w:rPr>
          <w:spacing w:val="-13"/>
        </w:rPr>
        <w:t> </w:t>
      </w:r>
      <w:r>
        <w:rPr/>
        <w:t>alguna</w:t>
      </w:r>
      <w:r>
        <w:rPr>
          <w:spacing w:val="-14"/>
        </w:rPr>
        <w:t> </w:t>
      </w:r>
      <w:r>
        <w:rPr/>
        <w:t>de</w:t>
      </w:r>
      <w:r>
        <w:rPr>
          <w:spacing w:val="-14"/>
        </w:rPr>
        <w:t> </w:t>
      </w:r>
      <w:r>
        <w:rPr/>
        <w:t>las</w:t>
      </w:r>
      <w:r>
        <w:rPr>
          <w:spacing w:val="-14"/>
        </w:rPr>
        <w:t> </w:t>
      </w:r>
      <w:r>
        <w:rPr/>
        <w:t>operaciones</w:t>
      </w:r>
      <w:r>
        <w:rPr>
          <w:spacing w:val="-13"/>
        </w:rPr>
        <w:t> </w:t>
      </w:r>
      <w:r>
        <w:rPr/>
        <w:t>que</w:t>
      </w:r>
      <w:r>
        <w:rPr>
          <w:spacing w:val="-14"/>
        </w:rPr>
        <w:t> </w:t>
      </w:r>
      <w:r>
        <w:rPr/>
        <w:t>constituyen</w:t>
      </w:r>
      <w:r>
        <w:rPr>
          <w:spacing w:val="-14"/>
        </w:rPr>
        <w:t> </w:t>
      </w:r>
      <w:r>
        <w:rPr/>
        <w:t>el</w:t>
      </w:r>
      <w:r>
        <w:rPr>
          <w:spacing w:val="-14"/>
        </w:rPr>
        <w:t> </w:t>
      </w:r>
      <w:r>
        <w:rPr/>
        <w:t>objeto</w:t>
      </w:r>
      <w:r>
        <w:rPr>
          <w:spacing w:val="-13"/>
        </w:rPr>
        <w:t> </w:t>
      </w:r>
      <w:r>
        <w:rPr/>
        <w:t>social,</w:t>
      </w:r>
      <w:r>
        <w:rPr>
          <w:spacing w:val="-14"/>
        </w:rPr>
        <w:t> </w:t>
      </w:r>
      <w:r>
        <w:rPr/>
        <w:t>no</w:t>
      </w:r>
      <w:r>
        <w:rPr>
          <w:spacing w:val="-14"/>
        </w:rPr>
        <w:t> </w:t>
      </w:r>
      <w:r>
        <w:rPr/>
        <w:t>podrá</w:t>
      </w:r>
      <w:r>
        <w:rPr>
          <w:spacing w:val="-14"/>
        </w:rPr>
        <w:t> </w:t>
      </w:r>
      <w:r>
        <w:rPr/>
        <w:t>la</w:t>
      </w:r>
      <w:r>
        <w:rPr>
          <w:spacing w:val="-13"/>
        </w:rPr>
        <w:t> </w:t>
      </w:r>
      <w:r>
        <w:rPr/>
        <w:t>Sociedad</w:t>
      </w:r>
      <w:r>
        <w:rPr>
          <w:spacing w:val="-14"/>
        </w:rPr>
        <w:t> </w:t>
      </w:r>
      <w:r>
        <w:rPr/>
        <w:t>iniciar la citada actividad específica hasta que el requisito exigido quede cumplido conforme a la Ley.</w:t>
      </w:r>
    </w:p>
    <w:p>
      <w:pPr>
        <w:pStyle w:val="BodyText"/>
        <w:spacing w:line="247" w:lineRule="auto" w:before="236"/>
        <w:ind w:left="995" w:right="840"/>
        <w:jc w:val="both"/>
      </w:pPr>
      <w:r>
        <w:rPr/>
        <w:t>El objetivo fundamental de la Sociedad es la financiación de la parte que le corresponde de las actuaciones</w:t>
      </w:r>
      <w:r>
        <w:rPr>
          <w:spacing w:val="-8"/>
        </w:rPr>
        <w:t> </w:t>
      </w:r>
      <w:r>
        <w:rPr/>
        <w:t>previstas</w:t>
      </w:r>
      <w:r>
        <w:rPr>
          <w:spacing w:val="-8"/>
        </w:rPr>
        <w:t> </w:t>
      </w:r>
      <w:r>
        <w:rPr/>
        <w:t>en</w:t>
      </w:r>
      <w:r>
        <w:rPr>
          <w:spacing w:val="-7"/>
        </w:rPr>
        <w:t> </w:t>
      </w:r>
      <w:r>
        <w:rPr/>
        <w:t>el</w:t>
      </w:r>
      <w:r>
        <w:rPr>
          <w:spacing w:val="-7"/>
        </w:rPr>
        <w:t> </w:t>
      </w:r>
      <w:r>
        <w:rPr/>
        <w:t>Convenio</w:t>
      </w:r>
      <w:r>
        <w:rPr>
          <w:spacing w:val="-8"/>
        </w:rPr>
        <w:t> </w:t>
      </w:r>
      <w:r>
        <w:rPr/>
        <w:t>y</w:t>
      </w:r>
      <w:r>
        <w:rPr>
          <w:spacing w:val="-7"/>
        </w:rPr>
        <w:t> </w:t>
      </w:r>
      <w:r>
        <w:rPr/>
        <w:t>en</w:t>
      </w:r>
      <w:r>
        <w:rPr>
          <w:spacing w:val="-7"/>
        </w:rPr>
        <w:t> </w:t>
      </w:r>
      <w:r>
        <w:rPr/>
        <w:t>la</w:t>
      </w:r>
      <w:r>
        <w:rPr>
          <w:spacing w:val="-7"/>
        </w:rPr>
        <w:t> </w:t>
      </w:r>
      <w:r>
        <w:rPr/>
        <w:t>Adenda</w:t>
      </w:r>
      <w:r>
        <w:rPr>
          <w:spacing w:val="-7"/>
        </w:rPr>
        <w:t> </w:t>
      </w:r>
      <w:r>
        <w:rPr/>
        <w:t>Modificativa</w:t>
      </w:r>
      <w:r>
        <w:rPr>
          <w:spacing w:val="-7"/>
        </w:rPr>
        <w:t> </w:t>
      </w:r>
      <w:r>
        <w:rPr/>
        <w:t>al</w:t>
      </w:r>
      <w:r>
        <w:rPr>
          <w:spacing w:val="-7"/>
        </w:rPr>
        <w:t> </w:t>
      </w:r>
      <w:r>
        <w:rPr/>
        <w:t>mismo</w:t>
      </w:r>
      <w:r>
        <w:rPr>
          <w:spacing w:val="-8"/>
        </w:rPr>
        <w:t> </w:t>
      </w:r>
      <w:r>
        <w:rPr/>
        <w:t>y</w:t>
      </w:r>
      <w:r>
        <w:rPr>
          <w:spacing w:val="-9"/>
        </w:rPr>
        <w:t> </w:t>
      </w:r>
      <w:r>
        <w:rPr/>
        <w:t>la</w:t>
      </w:r>
      <w:r>
        <w:rPr>
          <w:spacing w:val="-8"/>
        </w:rPr>
        <w:t> </w:t>
      </w:r>
      <w:r>
        <w:rPr/>
        <w:t>gestión</w:t>
      </w:r>
      <w:r>
        <w:rPr>
          <w:spacing w:val="-7"/>
        </w:rPr>
        <w:t> </w:t>
      </w:r>
      <w:r>
        <w:rPr/>
        <w:t>del</w:t>
      </w:r>
      <w:r>
        <w:rPr>
          <w:spacing w:val="-6"/>
        </w:rPr>
        <w:t> </w:t>
      </w:r>
      <w:r>
        <w:rPr/>
        <w:t>desarrollo urbanístico y de la ejecución de las obras de infraestructura urbana correspondientes a los terrenos liberados en ese entorno.</w:t>
      </w:r>
    </w:p>
    <w:p>
      <w:pPr>
        <w:pStyle w:val="BodyText"/>
        <w:spacing w:line="244" w:lineRule="auto" w:before="239"/>
        <w:ind w:left="995" w:right="844"/>
        <w:jc w:val="both"/>
      </w:pPr>
      <w:r>
        <w:rPr/>
        <w:t>Para</w:t>
      </w:r>
      <w:r>
        <w:rPr>
          <w:spacing w:val="-9"/>
        </w:rPr>
        <w:t> </w:t>
      </w:r>
      <w:r>
        <w:rPr/>
        <w:t>ello</w:t>
      </w:r>
      <w:r>
        <w:rPr>
          <w:spacing w:val="-9"/>
        </w:rPr>
        <w:t> </w:t>
      </w:r>
      <w:r>
        <w:rPr/>
        <w:t>la</w:t>
      </w:r>
      <w:r>
        <w:rPr>
          <w:spacing w:val="-9"/>
        </w:rPr>
        <w:t> </w:t>
      </w:r>
      <w:r>
        <w:rPr/>
        <w:t>Sociedad,</w:t>
      </w:r>
      <w:r>
        <w:rPr>
          <w:spacing w:val="-8"/>
        </w:rPr>
        <w:t> </w:t>
      </w:r>
      <w:r>
        <w:rPr/>
        <w:t>en</w:t>
      </w:r>
      <w:r>
        <w:rPr>
          <w:spacing w:val="-9"/>
        </w:rPr>
        <w:t> </w:t>
      </w:r>
      <w:r>
        <w:rPr/>
        <w:t>lo</w:t>
      </w:r>
      <w:r>
        <w:rPr>
          <w:spacing w:val="-11"/>
        </w:rPr>
        <w:t> </w:t>
      </w:r>
      <w:r>
        <w:rPr/>
        <w:t>que</w:t>
      </w:r>
      <w:r>
        <w:rPr>
          <w:spacing w:val="-9"/>
        </w:rPr>
        <w:t> </w:t>
      </w:r>
      <w:r>
        <w:rPr/>
        <w:t>a</w:t>
      </w:r>
      <w:r>
        <w:rPr>
          <w:spacing w:val="-9"/>
        </w:rPr>
        <w:t> </w:t>
      </w:r>
      <w:r>
        <w:rPr/>
        <w:t>las</w:t>
      </w:r>
      <w:r>
        <w:rPr>
          <w:spacing w:val="-9"/>
        </w:rPr>
        <w:t> </w:t>
      </w:r>
      <w:r>
        <w:rPr/>
        <w:t>actuaciones</w:t>
      </w:r>
      <w:r>
        <w:rPr>
          <w:spacing w:val="-8"/>
        </w:rPr>
        <w:t> </w:t>
      </w:r>
      <w:r>
        <w:rPr/>
        <w:t>previstas</w:t>
      </w:r>
      <w:r>
        <w:rPr>
          <w:spacing w:val="-8"/>
        </w:rPr>
        <w:t> </w:t>
      </w:r>
      <w:r>
        <w:rPr/>
        <w:t>en</w:t>
      </w:r>
      <w:r>
        <w:rPr>
          <w:spacing w:val="-9"/>
        </w:rPr>
        <w:t> </w:t>
      </w:r>
      <w:r>
        <w:rPr/>
        <w:t>la</w:t>
      </w:r>
      <w:r>
        <w:rPr>
          <w:spacing w:val="-9"/>
        </w:rPr>
        <w:t> </w:t>
      </w:r>
      <w:r>
        <w:rPr/>
        <w:t>Adenda</w:t>
      </w:r>
      <w:r>
        <w:rPr>
          <w:spacing w:val="-8"/>
        </w:rPr>
        <w:t> </w:t>
      </w:r>
      <w:r>
        <w:rPr/>
        <w:t>Modificativa</w:t>
      </w:r>
      <w:r>
        <w:rPr>
          <w:spacing w:val="-7"/>
        </w:rPr>
        <w:t> </w:t>
      </w:r>
      <w:r>
        <w:rPr/>
        <w:t>del</w:t>
      </w:r>
      <w:r>
        <w:rPr>
          <w:spacing w:val="-7"/>
        </w:rPr>
        <w:t> </w:t>
      </w:r>
      <w:r>
        <w:rPr/>
        <w:t>Convenio</w:t>
      </w:r>
      <w:r>
        <w:rPr>
          <w:spacing w:val="-8"/>
        </w:rPr>
        <w:t> </w:t>
      </w:r>
      <w:r>
        <w:rPr/>
        <w:t>de 2006 se refiere:</w:t>
      </w:r>
    </w:p>
    <w:p>
      <w:pPr>
        <w:pStyle w:val="ListParagraph"/>
        <w:numPr>
          <w:ilvl w:val="0"/>
          <w:numId w:val="2"/>
        </w:numPr>
        <w:tabs>
          <w:tab w:pos="1273" w:val="left" w:leader="none"/>
        </w:tabs>
        <w:spacing w:line="240" w:lineRule="auto" w:before="245" w:after="0"/>
        <w:ind w:left="1273" w:right="0" w:hanging="280"/>
        <w:jc w:val="left"/>
        <w:rPr>
          <w:sz w:val="22"/>
        </w:rPr>
      </w:pPr>
      <w:r>
        <w:rPr>
          <w:sz w:val="22"/>
        </w:rPr>
        <w:t>Definirá</w:t>
      </w:r>
      <w:r>
        <w:rPr>
          <w:spacing w:val="-7"/>
          <w:sz w:val="22"/>
        </w:rPr>
        <w:t> </w:t>
      </w:r>
      <w:r>
        <w:rPr>
          <w:sz w:val="22"/>
        </w:rPr>
        <w:t>la</w:t>
      </w:r>
      <w:r>
        <w:rPr>
          <w:spacing w:val="-7"/>
          <w:sz w:val="22"/>
        </w:rPr>
        <w:t> </w:t>
      </w:r>
      <w:r>
        <w:rPr>
          <w:sz w:val="22"/>
        </w:rPr>
        <w:t>propuesta</w:t>
      </w:r>
      <w:r>
        <w:rPr>
          <w:spacing w:val="-7"/>
          <w:sz w:val="22"/>
        </w:rPr>
        <w:t> </w:t>
      </w:r>
      <w:r>
        <w:rPr>
          <w:sz w:val="22"/>
        </w:rPr>
        <w:t>global</w:t>
      </w:r>
      <w:r>
        <w:rPr>
          <w:spacing w:val="-7"/>
          <w:sz w:val="22"/>
        </w:rPr>
        <w:t> </w:t>
      </w:r>
      <w:r>
        <w:rPr>
          <w:sz w:val="22"/>
        </w:rPr>
        <w:t>de</w:t>
      </w:r>
      <w:r>
        <w:rPr>
          <w:spacing w:val="-7"/>
          <w:sz w:val="22"/>
        </w:rPr>
        <w:t> </w:t>
      </w:r>
      <w:r>
        <w:rPr>
          <w:sz w:val="22"/>
        </w:rPr>
        <w:t>la</w:t>
      </w:r>
      <w:r>
        <w:rPr>
          <w:spacing w:val="-6"/>
          <w:sz w:val="22"/>
        </w:rPr>
        <w:t> </w:t>
      </w:r>
      <w:r>
        <w:rPr>
          <w:sz w:val="22"/>
        </w:rPr>
        <w:t>actuación</w:t>
      </w:r>
      <w:r>
        <w:rPr>
          <w:spacing w:val="-6"/>
          <w:sz w:val="22"/>
        </w:rPr>
        <w:t> </w:t>
      </w:r>
      <w:r>
        <w:rPr>
          <w:sz w:val="22"/>
        </w:rPr>
        <w:t>urbanística</w:t>
      </w:r>
      <w:r>
        <w:rPr>
          <w:spacing w:val="-7"/>
          <w:sz w:val="22"/>
        </w:rPr>
        <w:t> </w:t>
      </w:r>
      <w:r>
        <w:rPr>
          <w:spacing w:val="-2"/>
          <w:sz w:val="22"/>
        </w:rPr>
        <w:t>concertada.</w:t>
      </w:r>
    </w:p>
    <w:p>
      <w:pPr>
        <w:pStyle w:val="ListParagraph"/>
        <w:numPr>
          <w:ilvl w:val="0"/>
          <w:numId w:val="2"/>
        </w:numPr>
        <w:tabs>
          <w:tab w:pos="1275" w:val="left" w:leader="none"/>
          <w:tab w:pos="1277" w:val="left" w:leader="none"/>
        </w:tabs>
        <w:spacing w:line="244" w:lineRule="auto" w:before="251" w:after="0"/>
        <w:ind w:left="1277" w:right="1067" w:hanging="284"/>
        <w:jc w:val="left"/>
        <w:rPr>
          <w:sz w:val="22"/>
        </w:rPr>
      </w:pPr>
      <w:r>
        <w:rPr>
          <w:sz w:val="22"/>
        </w:rPr>
        <w:t>Elaborará</w:t>
      </w:r>
      <w:r>
        <w:rPr>
          <w:spacing w:val="-4"/>
          <w:sz w:val="22"/>
        </w:rPr>
        <w:t> </w:t>
      </w:r>
      <w:r>
        <w:rPr>
          <w:sz w:val="22"/>
        </w:rPr>
        <w:t>los</w:t>
      </w:r>
      <w:r>
        <w:rPr>
          <w:spacing w:val="-4"/>
          <w:sz w:val="22"/>
        </w:rPr>
        <w:t> </w:t>
      </w:r>
      <w:r>
        <w:rPr>
          <w:sz w:val="22"/>
        </w:rPr>
        <w:t>estudios</w:t>
      </w:r>
      <w:r>
        <w:rPr>
          <w:spacing w:val="-3"/>
          <w:sz w:val="22"/>
        </w:rPr>
        <w:t> </w:t>
      </w:r>
      <w:r>
        <w:rPr>
          <w:sz w:val="22"/>
        </w:rPr>
        <w:t>y</w:t>
      </w:r>
      <w:r>
        <w:rPr>
          <w:spacing w:val="-3"/>
          <w:sz w:val="22"/>
        </w:rPr>
        <w:t> </w:t>
      </w:r>
      <w:r>
        <w:rPr>
          <w:sz w:val="22"/>
        </w:rPr>
        <w:t>propuestas</w:t>
      </w:r>
      <w:r>
        <w:rPr>
          <w:spacing w:val="-4"/>
          <w:sz w:val="22"/>
        </w:rPr>
        <w:t> </w:t>
      </w:r>
      <w:r>
        <w:rPr>
          <w:sz w:val="22"/>
        </w:rPr>
        <w:t>que</w:t>
      </w:r>
      <w:r>
        <w:rPr>
          <w:spacing w:val="-4"/>
          <w:sz w:val="22"/>
        </w:rPr>
        <w:t> </w:t>
      </w:r>
      <w:r>
        <w:rPr>
          <w:sz w:val="22"/>
        </w:rPr>
        <w:t>permitan</w:t>
      </w:r>
      <w:r>
        <w:rPr>
          <w:spacing w:val="-3"/>
          <w:sz w:val="22"/>
        </w:rPr>
        <w:t> </w:t>
      </w:r>
      <w:r>
        <w:rPr>
          <w:sz w:val="22"/>
        </w:rPr>
        <w:t>la</w:t>
      </w:r>
      <w:r>
        <w:rPr>
          <w:spacing w:val="-4"/>
          <w:sz w:val="22"/>
        </w:rPr>
        <w:t> </w:t>
      </w:r>
      <w:r>
        <w:rPr>
          <w:sz w:val="22"/>
        </w:rPr>
        <w:t>planificación</w:t>
      </w:r>
      <w:r>
        <w:rPr>
          <w:spacing w:val="-3"/>
          <w:sz w:val="22"/>
        </w:rPr>
        <w:t> </w:t>
      </w:r>
      <w:r>
        <w:rPr>
          <w:sz w:val="22"/>
        </w:rPr>
        <w:t>y</w:t>
      </w:r>
      <w:r>
        <w:rPr>
          <w:spacing w:val="-3"/>
          <w:sz w:val="22"/>
        </w:rPr>
        <w:t> </w:t>
      </w:r>
      <w:r>
        <w:rPr>
          <w:sz w:val="22"/>
        </w:rPr>
        <w:t>ejecución</w:t>
      </w:r>
      <w:r>
        <w:rPr>
          <w:spacing w:val="-3"/>
          <w:sz w:val="22"/>
        </w:rPr>
        <w:t> </w:t>
      </w:r>
      <w:r>
        <w:rPr>
          <w:sz w:val="22"/>
        </w:rPr>
        <w:t>de</w:t>
      </w:r>
      <w:r>
        <w:rPr>
          <w:spacing w:val="-4"/>
          <w:sz w:val="22"/>
        </w:rPr>
        <w:t> </w:t>
      </w:r>
      <w:r>
        <w:rPr>
          <w:sz w:val="22"/>
        </w:rPr>
        <w:t>las</w:t>
      </w:r>
      <w:r>
        <w:rPr>
          <w:spacing w:val="-4"/>
          <w:sz w:val="22"/>
        </w:rPr>
        <w:t> </w:t>
      </w:r>
      <w:r>
        <w:rPr>
          <w:sz w:val="22"/>
        </w:rPr>
        <w:t>actuaciones urbanísticas y de transporte, definiendo sus costes.</w:t>
      </w:r>
    </w:p>
    <w:p>
      <w:pPr>
        <w:pStyle w:val="ListParagraph"/>
        <w:numPr>
          <w:ilvl w:val="0"/>
          <w:numId w:val="2"/>
        </w:numPr>
        <w:tabs>
          <w:tab w:pos="1273" w:val="left" w:leader="none"/>
          <w:tab w:pos="1277" w:val="left" w:leader="none"/>
        </w:tabs>
        <w:spacing w:line="244" w:lineRule="auto" w:before="245" w:after="0"/>
        <w:ind w:left="1277" w:right="983" w:hanging="284"/>
        <w:jc w:val="left"/>
        <w:rPr>
          <w:sz w:val="22"/>
        </w:rPr>
      </w:pPr>
      <w:r>
        <w:rPr>
          <w:sz w:val="22"/>
        </w:rPr>
        <w:t>Propondrá</w:t>
      </w:r>
      <w:r>
        <w:rPr>
          <w:spacing w:val="-3"/>
          <w:sz w:val="22"/>
        </w:rPr>
        <w:t> </w:t>
      </w:r>
      <w:r>
        <w:rPr>
          <w:sz w:val="22"/>
        </w:rPr>
        <w:t>la</w:t>
      </w:r>
      <w:r>
        <w:rPr>
          <w:spacing w:val="-4"/>
          <w:sz w:val="22"/>
        </w:rPr>
        <w:t> </w:t>
      </w:r>
      <w:r>
        <w:rPr>
          <w:sz w:val="22"/>
        </w:rPr>
        <w:t>creación</w:t>
      </w:r>
      <w:r>
        <w:rPr>
          <w:spacing w:val="-2"/>
          <w:sz w:val="22"/>
        </w:rPr>
        <w:t> </w:t>
      </w:r>
      <w:r>
        <w:rPr>
          <w:sz w:val="22"/>
        </w:rPr>
        <w:t>de</w:t>
      </w:r>
      <w:r>
        <w:rPr>
          <w:spacing w:val="-4"/>
          <w:sz w:val="22"/>
        </w:rPr>
        <w:t> </w:t>
      </w:r>
      <w:r>
        <w:rPr>
          <w:sz w:val="22"/>
        </w:rPr>
        <w:t>instrumentos</w:t>
      </w:r>
      <w:r>
        <w:rPr>
          <w:spacing w:val="-2"/>
          <w:sz w:val="22"/>
        </w:rPr>
        <w:t> </w:t>
      </w:r>
      <w:r>
        <w:rPr>
          <w:sz w:val="22"/>
        </w:rPr>
        <w:t>de</w:t>
      </w:r>
      <w:r>
        <w:rPr>
          <w:spacing w:val="-4"/>
          <w:sz w:val="22"/>
        </w:rPr>
        <w:t> </w:t>
      </w:r>
      <w:r>
        <w:rPr>
          <w:sz w:val="22"/>
        </w:rPr>
        <w:t>gestión</w:t>
      </w:r>
      <w:r>
        <w:rPr>
          <w:spacing w:val="-2"/>
          <w:sz w:val="22"/>
        </w:rPr>
        <w:t> </w:t>
      </w:r>
      <w:r>
        <w:rPr>
          <w:sz w:val="22"/>
        </w:rPr>
        <w:t>adecuados</w:t>
      </w:r>
      <w:r>
        <w:rPr>
          <w:spacing w:val="-3"/>
          <w:sz w:val="22"/>
        </w:rPr>
        <w:t> </w:t>
      </w:r>
      <w:r>
        <w:rPr>
          <w:sz w:val="22"/>
        </w:rPr>
        <w:t>para</w:t>
      </w:r>
      <w:r>
        <w:rPr>
          <w:spacing w:val="-2"/>
          <w:sz w:val="22"/>
        </w:rPr>
        <w:t> </w:t>
      </w:r>
      <w:r>
        <w:rPr>
          <w:sz w:val="22"/>
        </w:rPr>
        <w:t>llevar</w:t>
      </w:r>
      <w:r>
        <w:rPr>
          <w:spacing w:val="-3"/>
          <w:sz w:val="22"/>
        </w:rPr>
        <w:t> </w:t>
      </w:r>
      <w:r>
        <w:rPr>
          <w:sz w:val="22"/>
        </w:rPr>
        <w:t>a</w:t>
      </w:r>
      <w:r>
        <w:rPr>
          <w:spacing w:val="-3"/>
          <w:sz w:val="22"/>
        </w:rPr>
        <w:t> </w:t>
      </w:r>
      <w:r>
        <w:rPr>
          <w:sz w:val="22"/>
        </w:rPr>
        <w:t>cabo</w:t>
      </w:r>
      <w:r>
        <w:rPr>
          <w:spacing w:val="-3"/>
          <w:sz w:val="22"/>
        </w:rPr>
        <w:t> </w:t>
      </w:r>
      <w:r>
        <w:rPr>
          <w:sz w:val="22"/>
        </w:rPr>
        <w:t>los</w:t>
      </w:r>
      <w:r>
        <w:rPr>
          <w:spacing w:val="-3"/>
          <w:sz w:val="22"/>
        </w:rPr>
        <w:t> </w:t>
      </w:r>
      <w:r>
        <w:rPr>
          <w:sz w:val="22"/>
        </w:rPr>
        <w:t>proyectos</w:t>
      </w:r>
      <w:r>
        <w:rPr>
          <w:spacing w:val="-4"/>
          <w:sz w:val="22"/>
        </w:rPr>
        <w:t> </w:t>
      </w:r>
      <w:r>
        <w:rPr>
          <w:sz w:val="22"/>
        </w:rPr>
        <w:t>que se acuerden, asegurando la necesaria coordinación de los mismos.</w:t>
      </w:r>
    </w:p>
    <w:p>
      <w:pPr>
        <w:pStyle w:val="BodyText"/>
        <w:spacing w:line="247" w:lineRule="auto" w:before="241"/>
        <w:ind w:left="1070" w:right="846"/>
        <w:jc w:val="both"/>
      </w:pPr>
      <w:r>
        <w:rPr/>
        <w:t>Además, tal y como se establecía en el acuerdo noveno del Convenio de 2006 en relación con los estudios, proyectos y obras:</w:t>
      </w:r>
    </w:p>
    <w:p>
      <w:pPr>
        <w:pStyle w:val="ListParagraph"/>
        <w:numPr>
          <w:ilvl w:val="1"/>
          <w:numId w:val="2"/>
        </w:numPr>
        <w:tabs>
          <w:tab w:pos="1263" w:val="left" w:leader="none"/>
          <w:tab w:pos="1277" w:val="left" w:leader="none"/>
        </w:tabs>
        <w:spacing w:line="247" w:lineRule="auto" w:before="240" w:after="0"/>
        <w:ind w:left="1277" w:right="836" w:hanging="142"/>
        <w:jc w:val="both"/>
        <w:rPr>
          <w:sz w:val="22"/>
        </w:rPr>
      </w:pPr>
      <w:r>
        <w:rPr>
          <w:sz w:val="22"/>
        </w:rPr>
        <w:t>La</w:t>
      </w:r>
      <w:r>
        <w:rPr>
          <w:spacing w:val="-14"/>
          <w:sz w:val="22"/>
        </w:rPr>
        <w:t> </w:t>
      </w:r>
      <w:r>
        <w:rPr>
          <w:sz w:val="22"/>
        </w:rPr>
        <w:t>Sociedad</w:t>
      </w:r>
      <w:r>
        <w:rPr>
          <w:spacing w:val="-14"/>
          <w:sz w:val="22"/>
        </w:rPr>
        <w:t> </w:t>
      </w:r>
      <w:r>
        <w:rPr>
          <w:sz w:val="22"/>
        </w:rPr>
        <w:t>coordinará</w:t>
      </w:r>
      <w:r>
        <w:rPr>
          <w:spacing w:val="-13"/>
          <w:sz w:val="22"/>
        </w:rPr>
        <w:t> </w:t>
      </w:r>
      <w:r>
        <w:rPr>
          <w:sz w:val="22"/>
        </w:rPr>
        <w:t>la</w:t>
      </w:r>
      <w:r>
        <w:rPr>
          <w:spacing w:val="-14"/>
          <w:sz w:val="22"/>
        </w:rPr>
        <w:t> </w:t>
      </w:r>
      <w:r>
        <w:rPr>
          <w:sz w:val="22"/>
        </w:rPr>
        <w:t>realización</w:t>
      </w:r>
      <w:r>
        <w:rPr>
          <w:spacing w:val="-12"/>
          <w:sz w:val="22"/>
        </w:rPr>
        <w:t> </w:t>
      </w:r>
      <w:r>
        <w:rPr>
          <w:sz w:val="22"/>
        </w:rPr>
        <w:t>de</w:t>
      </w:r>
      <w:r>
        <w:rPr>
          <w:spacing w:val="-14"/>
          <w:sz w:val="22"/>
        </w:rPr>
        <w:t> </w:t>
      </w:r>
      <w:r>
        <w:rPr>
          <w:sz w:val="22"/>
        </w:rPr>
        <w:t>los</w:t>
      </w:r>
      <w:r>
        <w:rPr>
          <w:spacing w:val="-14"/>
          <w:sz w:val="22"/>
        </w:rPr>
        <w:t> </w:t>
      </w:r>
      <w:r>
        <w:rPr>
          <w:sz w:val="22"/>
        </w:rPr>
        <w:t>estudios</w:t>
      </w:r>
      <w:r>
        <w:rPr>
          <w:spacing w:val="-10"/>
          <w:sz w:val="22"/>
        </w:rPr>
        <w:t> </w:t>
      </w:r>
      <w:r>
        <w:rPr>
          <w:sz w:val="22"/>
        </w:rPr>
        <w:t>y</w:t>
      </w:r>
      <w:r>
        <w:rPr>
          <w:spacing w:val="-14"/>
          <w:sz w:val="22"/>
        </w:rPr>
        <w:t> </w:t>
      </w:r>
      <w:r>
        <w:rPr>
          <w:sz w:val="22"/>
        </w:rPr>
        <w:t>proyectos</w:t>
      </w:r>
      <w:r>
        <w:rPr>
          <w:spacing w:val="-11"/>
          <w:sz w:val="22"/>
        </w:rPr>
        <w:t> </w:t>
      </w:r>
      <w:r>
        <w:rPr>
          <w:sz w:val="22"/>
        </w:rPr>
        <w:t>necesarios</w:t>
      </w:r>
      <w:r>
        <w:rPr>
          <w:spacing w:val="-11"/>
          <w:sz w:val="22"/>
        </w:rPr>
        <w:t> </w:t>
      </w:r>
      <w:r>
        <w:rPr>
          <w:sz w:val="22"/>
        </w:rPr>
        <w:t>para</w:t>
      </w:r>
      <w:r>
        <w:rPr>
          <w:spacing w:val="-14"/>
          <w:sz w:val="22"/>
        </w:rPr>
        <w:t> </w:t>
      </w:r>
      <w:r>
        <w:rPr>
          <w:sz w:val="22"/>
        </w:rPr>
        <w:t>la</w:t>
      </w:r>
      <w:r>
        <w:rPr>
          <w:spacing w:val="-14"/>
          <w:sz w:val="22"/>
        </w:rPr>
        <w:t> </w:t>
      </w:r>
      <w:r>
        <w:rPr>
          <w:sz w:val="22"/>
        </w:rPr>
        <w:t>ejecución</w:t>
      </w:r>
      <w:r>
        <w:rPr>
          <w:spacing w:val="-9"/>
          <w:sz w:val="22"/>
        </w:rPr>
        <w:t> </w:t>
      </w:r>
      <w:r>
        <w:rPr>
          <w:sz w:val="22"/>
        </w:rPr>
        <w:t>de</w:t>
      </w:r>
      <w:r>
        <w:rPr>
          <w:spacing w:val="-14"/>
          <w:sz w:val="22"/>
        </w:rPr>
        <w:t> </w:t>
      </w:r>
      <w:r>
        <w:rPr>
          <w:sz w:val="22"/>
        </w:rPr>
        <w:t>las actuaciones</w:t>
      </w:r>
      <w:r>
        <w:rPr>
          <w:spacing w:val="-6"/>
          <w:sz w:val="22"/>
        </w:rPr>
        <w:t> </w:t>
      </w:r>
      <w:r>
        <w:rPr>
          <w:sz w:val="22"/>
        </w:rPr>
        <w:t>urbanísticas</w:t>
      </w:r>
      <w:r>
        <w:rPr>
          <w:spacing w:val="-5"/>
          <w:sz w:val="22"/>
        </w:rPr>
        <w:t> </w:t>
      </w:r>
      <w:r>
        <w:rPr>
          <w:sz w:val="22"/>
        </w:rPr>
        <w:t>y</w:t>
      </w:r>
      <w:r>
        <w:rPr>
          <w:spacing w:val="-4"/>
          <w:sz w:val="22"/>
        </w:rPr>
        <w:t> </w:t>
      </w:r>
      <w:r>
        <w:rPr>
          <w:sz w:val="22"/>
        </w:rPr>
        <w:t>de</w:t>
      </w:r>
      <w:r>
        <w:rPr>
          <w:spacing w:val="-6"/>
          <w:sz w:val="22"/>
        </w:rPr>
        <w:t> </w:t>
      </w:r>
      <w:r>
        <w:rPr>
          <w:sz w:val="22"/>
        </w:rPr>
        <w:t>infraestructura</w:t>
      </w:r>
      <w:r>
        <w:rPr>
          <w:spacing w:val="-4"/>
          <w:sz w:val="22"/>
        </w:rPr>
        <w:t> </w:t>
      </w:r>
      <w:r>
        <w:rPr>
          <w:sz w:val="22"/>
        </w:rPr>
        <w:t>de</w:t>
      </w:r>
      <w:r>
        <w:rPr>
          <w:spacing w:val="-6"/>
          <w:sz w:val="22"/>
        </w:rPr>
        <w:t> </w:t>
      </w:r>
      <w:r>
        <w:rPr>
          <w:sz w:val="22"/>
        </w:rPr>
        <w:t>transporte</w:t>
      </w:r>
      <w:r>
        <w:rPr>
          <w:spacing w:val="-5"/>
          <w:sz w:val="22"/>
        </w:rPr>
        <w:t> </w:t>
      </w:r>
      <w:r>
        <w:rPr>
          <w:sz w:val="22"/>
        </w:rPr>
        <w:t>a</w:t>
      </w:r>
      <w:r>
        <w:rPr>
          <w:spacing w:val="-6"/>
          <w:sz w:val="22"/>
        </w:rPr>
        <w:t> </w:t>
      </w:r>
      <w:r>
        <w:rPr>
          <w:sz w:val="22"/>
        </w:rPr>
        <w:t>que</w:t>
      </w:r>
      <w:r>
        <w:rPr>
          <w:spacing w:val="-6"/>
          <w:sz w:val="22"/>
        </w:rPr>
        <w:t> </w:t>
      </w:r>
      <w:r>
        <w:rPr>
          <w:sz w:val="22"/>
        </w:rPr>
        <w:t>hace</w:t>
      </w:r>
      <w:r>
        <w:rPr>
          <w:spacing w:val="-6"/>
          <w:sz w:val="22"/>
        </w:rPr>
        <w:t> </w:t>
      </w:r>
      <w:r>
        <w:rPr>
          <w:sz w:val="22"/>
        </w:rPr>
        <w:t>mención</w:t>
      </w:r>
      <w:r>
        <w:rPr>
          <w:spacing w:val="-4"/>
          <w:sz w:val="22"/>
        </w:rPr>
        <w:t> </w:t>
      </w:r>
      <w:r>
        <w:rPr>
          <w:sz w:val="22"/>
        </w:rPr>
        <w:t>este</w:t>
      </w:r>
      <w:r>
        <w:rPr>
          <w:spacing w:val="-7"/>
          <w:sz w:val="22"/>
        </w:rPr>
        <w:t> </w:t>
      </w:r>
      <w:r>
        <w:rPr>
          <w:sz w:val="22"/>
        </w:rPr>
        <w:t>documento,</w:t>
      </w:r>
      <w:r>
        <w:rPr>
          <w:spacing w:val="-5"/>
          <w:sz w:val="22"/>
        </w:rPr>
        <w:t> </w:t>
      </w:r>
      <w:r>
        <w:rPr>
          <w:sz w:val="22"/>
        </w:rPr>
        <w:t>sin perjuicio</w:t>
      </w:r>
      <w:r>
        <w:rPr>
          <w:spacing w:val="-13"/>
          <w:sz w:val="22"/>
        </w:rPr>
        <w:t> </w:t>
      </w:r>
      <w:r>
        <w:rPr>
          <w:sz w:val="22"/>
        </w:rPr>
        <w:t>de</w:t>
      </w:r>
      <w:r>
        <w:rPr>
          <w:spacing w:val="-14"/>
          <w:sz w:val="22"/>
        </w:rPr>
        <w:t> </w:t>
      </w:r>
      <w:r>
        <w:rPr>
          <w:sz w:val="22"/>
        </w:rPr>
        <w:t>las</w:t>
      </w:r>
      <w:r>
        <w:rPr>
          <w:spacing w:val="-13"/>
          <w:sz w:val="22"/>
        </w:rPr>
        <w:t> </w:t>
      </w:r>
      <w:r>
        <w:rPr>
          <w:sz w:val="22"/>
        </w:rPr>
        <w:t>competencias</w:t>
      </w:r>
      <w:r>
        <w:rPr>
          <w:spacing w:val="-13"/>
          <w:sz w:val="22"/>
        </w:rPr>
        <w:t> </w:t>
      </w:r>
      <w:r>
        <w:rPr>
          <w:sz w:val="22"/>
        </w:rPr>
        <w:t>que</w:t>
      </w:r>
      <w:r>
        <w:rPr>
          <w:spacing w:val="-13"/>
          <w:sz w:val="22"/>
        </w:rPr>
        <w:t> </w:t>
      </w:r>
      <w:r>
        <w:rPr>
          <w:sz w:val="22"/>
        </w:rPr>
        <w:t>en</w:t>
      </w:r>
      <w:r>
        <w:rPr>
          <w:spacing w:val="-13"/>
          <w:sz w:val="22"/>
        </w:rPr>
        <w:t> </w:t>
      </w:r>
      <w:r>
        <w:rPr>
          <w:sz w:val="22"/>
        </w:rPr>
        <w:t>materia</w:t>
      </w:r>
      <w:r>
        <w:rPr>
          <w:spacing w:val="-13"/>
          <w:sz w:val="22"/>
        </w:rPr>
        <w:t> </w:t>
      </w:r>
      <w:r>
        <w:rPr>
          <w:sz w:val="22"/>
        </w:rPr>
        <w:t>de</w:t>
      </w:r>
      <w:r>
        <w:rPr>
          <w:spacing w:val="-13"/>
          <w:sz w:val="22"/>
        </w:rPr>
        <w:t> </w:t>
      </w:r>
      <w:r>
        <w:rPr>
          <w:sz w:val="22"/>
        </w:rPr>
        <w:t>ordenación</w:t>
      </w:r>
      <w:r>
        <w:rPr>
          <w:spacing w:val="-12"/>
          <w:sz w:val="22"/>
        </w:rPr>
        <w:t> </w:t>
      </w:r>
      <w:r>
        <w:rPr>
          <w:sz w:val="22"/>
        </w:rPr>
        <w:t>del</w:t>
      </w:r>
      <w:r>
        <w:rPr>
          <w:spacing w:val="-14"/>
          <w:sz w:val="22"/>
        </w:rPr>
        <w:t> </w:t>
      </w:r>
      <w:r>
        <w:rPr>
          <w:sz w:val="22"/>
        </w:rPr>
        <w:t>territorio</w:t>
      </w:r>
      <w:r>
        <w:rPr>
          <w:spacing w:val="-12"/>
          <w:sz w:val="22"/>
        </w:rPr>
        <w:t> </w:t>
      </w:r>
      <w:r>
        <w:rPr>
          <w:sz w:val="22"/>
        </w:rPr>
        <w:t>y</w:t>
      </w:r>
      <w:r>
        <w:rPr>
          <w:spacing w:val="-14"/>
          <w:sz w:val="22"/>
        </w:rPr>
        <w:t> </w:t>
      </w:r>
      <w:r>
        <w:rPr>
          <w:sz w:val="22"/>
        </w:rPr>
        <w:t>urbanismo</w:t>
      </w:r>
      <w:r>
        <w:rPr>
          <w:spacing w:val="-12"/>
          <w:sz w:val="22"/>
        </w:rPr>
        <w:t> </w:t>
      </w:r>
      <w:r>
        <w:rPr>
          <w:sz w:val="22"/>
        </w:rPr>
        <w:t>correspondan al Ayuntamiento de Murcia y a la Comunidad Autónoma de la Región de Murcia y en materia ferroviaria al Ministerio de Fomento (actualmente Ministerio de Transportes y Movilidad </w:t>
      </w:r>
      <w:r>
        <w:rPr>
          <w:spacing w:val="-2"/>
          <w:sz w:val="22"/>
        </w:rPr>
        <w:t>Sostenible).</w:t>
      </w:r>
    </w:p>
    <w:p>
      <w:pPr>
        <w:pStyle w:val="ListParagraph"/>
        <w:numPr>
          <w:ilvl w:val="1"/>
          <w:numId w:val="2"/>
        </w:numPr>
        <w:tabs>
          <w:tab w:pos="1254" w:val="left" w:leader="none"/>
          <w:tab w:pos="1278" w:val="left" w:leader="none"/>
        </w:tabs>
        <w:spacing w:line="247" w:lineRule="auto" w:before="119" w:after="0"/>
        <w:ind w:left="1278" w:right="842" w:hanging="141"/>
        <w:jc w:val="both"/>
        <w:rPr>
          <w:sz w:val="22"/>
        </w:rPr>
      </w:pPr>
      <w:r>
        <w:rPr>
          <w:sz w:val="22"/>
        </w:rPr>
        <w:t>Los</w:t>
      </w:r>
      <w:r>
        <w:rPr>
          <w:spacing w:val="-14"/>
          <w:sz w:val="22"/>
        </w:rPr>
        <w:t> </w:t>
      </w:r>
      <w:r>
        <w:rPr>
          <w:sz w:val="22"/>
        </w:rPr>
        <w:t>estudios,</w:t>
      </w:r>
      <w:r>
        <w:rPr>
          <w:spacing w:val="-14"/>
          <w:sz w:val="22"/>
        </w:rPr>
        <w:t> </w:t>
      </w:r>
      <w:r>
        <w:rPr>
          <w:sz w:val="22"/>
        </w:rPr>
        <w:t>proyectos</w:t>
      </w:r>
      <w:r>
        <w:rPr>
          <w:spacing w:val="-14"/>
          <w:sz w:val="22"/>
        </w:rPr>
        <w:t> </w:t>
      </w:r>
      <w:r>
        <w:rPr>
          <w:sz w:val="22"/>
        </w:rPr>
        <w:t>y</w:t>
      </w:r>
      <w:r>
        <w:rPr>
          <w:spacing w:val="-13"/>
          <w:sz w:val="22"/>
        </w:rPr>
        <w:t> </w:t>
      </w:r>
      <w:r>
        <w:rPr>
          <w:sz w:val="22"/>
        </w:rPr>
        <w:t>obras</w:t>
      </w:r>
      <w:r>
        <w:rPr>
          <w:spacing w:val="-14"/>
          <w:sz w:val="22"/>
        </w:rPr>
        <w:t> </w:t>
      </w:r>
      <w:r>
        <w:rPr>
          <w:sz w:val="22"/>
        </w:rPr>
        <w:t>serán</w:t>
      </w:r>
      <w:r>
        <w:rPr>
          <w:spacing w:val="-14"/>
          <w:sz w:val="22"/>
        </w:rPr>
        <w:t> </w:t>
      </w:r>
      <w:r>
        <w:rPr>
          <w:sz w:val="22"/>
        </w:rPr>
        <w:t>dirigidos</w:t>
      </w:r>
      <w:r>
        <w:rPr>
          <w:spacing w:val="-14"/>
          <w:sz w:val="22"/>
        </w:rPr>
        <w:t> </w:t>
      </w:r>
      <w:r>
        <w:rPr>
          <w:sz w:val="22"/>
        </w:rPr>
        <w:t>y</w:t>
      </w:r>
      <w:r>
        <w:rPr>
          <w:spacing w:val="-13"/>
          <w:sz w:val="22"/>
        </w:rPr>
        <w:t> </w:t>
      </w:r>
      <w:r>
        <w:rPr>
          <w:sz w:val="22"/>
        </w:rPr>
        <w:t>en</w:t>
      </w:r>
      <w:r>
        <w:rPr>
          <w:spacing w:val="-14"/>
          <w:sz w:val="22"/>
        </w:rPr>
        <w:t> </w:t>
      </w:r>
      <w:r>
        <w:rPr>
          <w:sz w:val="22"/>
        </w:rPr>
        <w:t>su</w:t>
      </w:r>
      <w:r>
        <w:rPr>
          <w:spacing w:val="-14"/>
          <w:sz w:val="22"/>
        </w:rPr>
        <w:t> </w:t>
      </w:r>
      <w:r>
        <w:rPr>
          <w:sz w:val="22"/>
        </w:rPr>
        <w:t>caso</w:t>
      </w:r>
      <w:r>
        <w:rPr>
          <w:spacing w:val="-14"/>
          <w:sz w:val="22"/>
        </w:rPr>
        <w:t> </w:t>
      </w:r>
      <w:r>
        <w:rPr>
          <w:sz w:val="22"/>
        </w:rPr>
        <w:t>ejecutados</w:t>
      </w:r>
      <w:r>
        <w:rPr>
          <w:spacing w:val="-13"/>
          <w:sz w:val="22"/>
        </w:rPr>
        <w:t> </w:t>
      </w:r>
      <w:r>
        <w:rPr>
          <w:sz w:val="22"/>
        </w:rPr>
        <w:t>por</w:t>
      </w:r>
      <w:r>
        <w:rPr>
          <w:spacing w:val="-14"/>
          <w:sz w:val="22"/>
        </w:rPr>
        <w:t> </w:t>
      </w:r>
      <w:r>
        <w:rPr>
          <w:sz w:val="22"/>
        </w:rPr>
        <w:t>el</w:t>
      </w:r>
      <w:r>
        <w:rPr>
          <w:spacing w:val="-14"/>
          <w:sz w:val="22"/>
        </w:rPr>
        <w:t> </w:t>
      </w:r>
      <w:r>
        <w:rPr>
          <w:sz w:val="22"/>
        </w:rPr>
        <w:t>organismo</w:t>
      </w:r>
      <w:r>
        <w:rPr>
          <w:spacing w:val="-13"/>
          <w:sz w:val="22"/>
        </w:rPr>
        <w:t> </w:t>
      </w:r>
      <w:r>
        <w:rPr>
          <w:sz w:val="22"/>
        </w:rPr>
        <w:t>competente en la materia, o por aquellos de las administraciones firmantes a las que se le encomiende, siendo posible, si se considera conveniente a efectos de coordinación, que las instituciones firmantes deleguen en la Sociedad, mediante los acuerdos que se establezcan, la ejecución de determinadas obras,</w:t>
      </w:r>
      <w:r>
        <w:rPr>
          <w:spacing w:val="-11"/>
          <w:sz w:val="22"/>
        </w:rPr>
        <w:t> </w:t>
      </w:r>
      <w:r>
        <w:rPr>
          <w:sz w:val="22"/>
        </w:rPr>
        <w:t>de</w:t>
      </w:r>
      <w:r>
        <w:rPr>
          <w:spacing w:val="-10"/>
          <w:sz w:val="22"/>
        </w:rPr>
        <w:t> </w:t>
      </w:r>
      <w:r>
        <w:rPr>
          <w:sz w:val="22"/>
        </w:rPr>
        <w:t>acuerdo</w:t>
      </w:r>
      <w:r>
        <w:rPr>
          <w:spacing w:val="-10"/>
          <w:sz w:val="22"/>
        </w:rPr>
        <w:t> </w:t>
      </w:r>
      <w:r>
        <w:rPr>
          <w:sz w:val="22"/>
        </w:rPr>
        <w:t>con</w:t>
      </w:r>
      <w:r>
        <w:rPr>
          <w:spacing w:val="-10"/>
          <w:sz w:val="22"/>
        </w:rPr>
        <w:t> </w:t>
      </w:r>
      <w:r>
        <w:rPr>
          <w:sz w:val="22"/>
        </w:rPr>
        <w:t>la</w:t>
      </w:r>
      <w:r>
        <w:rPr>
          <w:spacing w:val="-11"/>
          <w:sz w:val="22"/>
        </w:rPr>
        <w:t> </w:t>
      </w:r>
      <w:r>
        <w:rPr>
          <w:sz w:val="22"/>
        </w:rPr>
        <w:t>normativa</w:t>
      </w:r>
      <w:r>
        <w:rPr>
          <w:spacing w:val="-11"/>
          <w:sz w:val="22"/>
        </w:rPr>
        <w:t> </w:t>
      </w:r>
      <w:r>
        <w:rPr>
          <w:sz w:val="22"/>
        </w:rPr>
        <w:t>aplicable</w:t>
      </w:r>
      <w:r>
        <w:rPr>
          <w:spacing w:val="-11"/>
          <w:sz w:val="22"/>
        </w:rPr>
        <w:t> </w:t>
      </w:r>
      <w:r>
        <w:rPr>
          <w:sz w:val="22"/>
        </w:rPr>
        <w:t>y</w:t>
      </w:r>
      <w:r>
        <w:rPr>
          <w:spacing w:val="-10"/>
          <w:sz w:val="22"/>
        </w:rPr>
        <w:t> </w:t>
      </w:r>
      <w:r>
        <w:rPr>
          <w:sz w:val="22"/>
        </w:rPr>
        <w:t>con</w:t>
      </w:r>
      <w:r>
        <w:rPr>
          <w:spacing w:val="-10"/>
          <w:sz w:val="22"/>
        </w:rPr>
        <w:t> </w:t>
      </w:r>
      <w:r>
        <w:rPr>
          <w:sz w:val="22"/>
        </w:rPr>
        <w:t>respeto</w:t>
      </w:r>
      <w:r>
        <w:rPr>
          <w:spacing w:val="-10"/>
          <w:sz w:val="22"/>
        </w:rPr>
        <w:t> </w:t>
      </w:r>
      <w:r>
        <w:rPr>
          <w:sz w:val="22"/>
        </w:rPr>
        <w:t>a</w:t>
      </w:r>
      <w:r>
        <w:rPr>
          <w:spacing w:val="-11"/>
          <w:sz w:val="22"/>
        </w:rPr>
        <w:t> </w:t>
      </w:r>
      <w:r>
        <w:rPr>
          <w:sz w:val="22"/>
        </w:rPr>
        <w:t>las</w:t>
      </w:r>
      <w:r>
        <w:rPr>
          <w:spacing w:val="-11"/>
          <w:sz w:val="22"/>
        </w:rPr>
        <w:t> </w:t>
      </w:r>
      <w:r>
        <w:rPr>
          <w:sz w:val="22"/>
        </w:rPr>
        <w:t>competencias</w:t>
      </w:r>
      <w:r>
        <w:rPr>
          <w:spacing w:val="-10"/>
          <w:sz w:val="22"/>
        </w:rPr>
        <w:t> </w:t>
      </w:r>
      <w:r>
        <w:rPr>
          <w:sz w:val="22"/>
        </w:rPr>
        <w:t>que</w:t>
      </w:r>
      <w:r>
        <w:rPr>
          <w:spacing w:val="-12"/>
          <w:sz w:val="22"/>
        </w:rPr>
        <w:t> </w:t>
      </w:r>
      <w:r>
        <w:rPr>
          <w:sz w:val="22"/>
        </w:rPr>
        <w:t>para</w:t>
      </w:r>
      <w:r>
        <w:rPr>
          <w:spacing w:val="-13"/>
          <w:sz w:val="22"/>
        </w:rPr>
        <w:t> </w:t>
      </w:r>
      <w:r>
        <w:rPr>
          <w:sz w:val="22"/>
        </w:rPr>
        <w:t>la</w:t>
      </w:r>
      <w:r>
        <w:rPr>
          <w:spacing w:val="-12"/>
          <w:sz w:val="22"/>
        </w:rPr>
        <w:t> </w:t>
      </w:r>
      <w:r>
        <w:rPr>
          <w:sz w:val="22"/>
        </w:rPr>
        <w:t>ejecución de las obras públicas tienen atribuidas.</w:t>
      </w:r>
    </w:p>
    <w:p>
      <w:pPr>
        <w:pStyle w:val="ListParagraph"/>
        <w:spacing w:after="0" w:line="247" w:lineRule="auto"/>
        <w:jc w:val="both"/>
        <w:rPr>
          <w:sz w:val="22"/>
        </w:rPr>
        <w:sectPr>
          <w:pgSz w:w="11910" w:h="16840"/>
          <w:pgMar w:header="694" w:footer="690" w:top="1920" w:bottom="880" w:left="708" w:right="425"/>
        </w:sectPr>
      </w:pPr>
    </w:p>
    <w:p>
      <w:pPr>
        <w:pStyle w:val="BodyText"/>
        <w:spacing w:line="247" w:lineRule="auto" w:before="187"/>
        <w:ind w:left="995" w:right="845"/>
        <w:jc w:val="both"/>
      </w:pPr>
      <w:r>
        <w:rPr/>
        <w:t>En los términos que permita la legislación aplicable, la Sociedad podrá recurrir a los canales de financiación que estimen oportunos de cara a poder iniciar la ejecución de las obras en el plazo más breve posible con independencia del momento en el que se materialicen los aprovechamientos urbanísticos correspondientes.</w:t>
      </w:r>
    </w:p>
    <w:p>
      <w:pPr>
        <w:pStyle w:val="BodyText"/>
        <w:spacing w:line="247" w:lineRule="auto" w:before="237"/>
        <w:ind w:left="995" w:right="838"/>
        <w:jc w:val="both"/>
      </w:pPr>
      <w:r>
        <w:rPr/>
        <w:t>Con</w:t>
      </w:r>
      <w:r>
        <w:rPr>
          <w:spacing w:val="-2"/>
        </w:rPr>
        <w:t> </w:t>
      </w:r>
      <w:r>
        <w:rPr/>
        <w:t>fecha</w:t>
      </w:r>
      <w:r>
        <w:rPr>
          <w:spacing w:val="-4"/>
        </w:rPr>
        <w:t> </w:t>
      </w:r>
      <w:r>
        <w:rPr/>
        <w:t>14</w:t>
      </w:r>
      <w:r>
        <w:rPr>
          <w:spacing w:val="-5"/>
        </w:rPr>
        <w:t> </w:t>
      </w:r>
      <w:r>
        <w:rPr/>
        <w:t>de</w:t>
      </w:r>
      <w:r>
        <w:rPr>
          <w:spacing w:val="-4"/>
        </w:rPr>
        <w:t> </w:t>
      </w:r>
      <w:r>
        <w:rPr/>
        <w:t>febrero</w:t>
      </w:r>
      <w:r>
        <w:rPr>
          <w:spacing w:val="-4"/>
        </w:rPr>
        <w:t> </w:t>
      </w:r>
      <w:r>
        <w:rPr/>
        <w:t>de</w:t>
      </w:r>
      <w:r>
        <w:rPr>
          <w:spacing w:val="-6"/>
        </w:rPr>
        <w:t> </w:t>
      </w:r>
      <w:r>
        <w:rPr/>
        <w:t>2014,</w:t>
      </w:r>
      <w:r>
        <w:rPr>
          <w:spacing w:val="-3"/>
        </w:rPr>
        <w:t> </w:t>
      </w:r>
      <w:r>
        <w:rPr/>
        <w:t>la</w:t>
      </w:r>
      <w:r>
        <w:rPr>
          <w:spacing w:val="-5"/>
        </w:rPr>
        <w:t> </w:t>
      </w:r>
      <w:r>
        <w:rPr/>
        <w:t>Sociedad</w:t>
      </w:r>
      <w:r>
        <w:rPr>
          <w:spacing w:val="-2"/>
        </w:rPr>
        <w:t> </w:t>
      </w:r>
      <w:r>
        <w:rPr/>
        <w:t>acordó</w:t>
      </w:r>
      <w:r>
        <w:rPr>
          <w:spacing w:val="-2"/>
        </w:rPr>
        <w:t> </w:t>
      </w:r>
      <w:r>
        <w:rPr/>
        <w:t>desarrollar</w:t>
      </w:r>
      <w:r>
        <w:rPr>
          <w:spacing w:val="-4"/>
        </w:rPr>
        <w:t> </w:t>
      </w:r>
      <w:r>
        <w:rPr/>
        <w:t>el</w:t>
      </w:r>
      <w:r>
        <w:rPr>
          <w:spacing w:val="-2"/>
        </w:rPr>
        <w:t> </w:t>
      </w:r>
      <w:r>
        <w:rPr/>
        <w:t>Proyecto</w:t>
      </w:r>
      <w:r>
        <w:rPr>
          <w:spacing w:val="-2"/>
        </w:rPr>
        <w:t> </w:t>
      </w:r>
      <w:r>
        <w:rPr/>
        <w:t>global</w:t>
      </w:r>
      <w:r>
        <w:rPr>
          <w:spacing w:val="-3"/>
        </w:rPr>
        <w:t> </w:t>
      </w:r>
      <w:r>
        <w:rPr/>
        <w:t>de</w:t>
      </w:r>
      <w:r>
        <w:rPr>
          <w:spacing w:val="-4"/>
        </w:rPr>
        <w:t> </w:t>
      </w:r>
      <w:r>
        <w:rPr/>
        <w:t>integración</w:t>
      </w:r>
      <w:r>
        <w:rPr>
          <w:spacing w:val="-3"/>
        </w:rPr>
        <w:t> </w:t>
      </w:r>
      <w:r>
        <w:rPr/>
        <w:t>del ferrocarril</w:t>
      </w:r>
      <w:r>
        <w:rPr>
          <w:spacing w:val="-12"/>
        </w:rPr>
        <w:t> </w:t>
      </w:r>
      <w:r>
        <w:rPr/>
        <w:t>en</w:t>
      </w:r>
      <w:r>
        <w:rPr>
          <w:spacing w:val="-12"/>
        </w:rPr>
        <w:t> </w:t>
      </w:r>
      <w:r>
        <w:rPr/>
        <w:t>Murcia,</w:t>
      </w:r>
      <w:r>
        <w:rPr>
          <w:spacing w:val="-13"/>
        </w:rPr>
        <w:t> </w:t>
      </w:r>
      <w:r>
        <w:rPr/>
        <w:t>definiendo</w:t>
      </w:r>
      <w:r>
        <w:rPr>
          <w:spacing w:val="-12"/>
        </w:rPr>
        <w:t> </w:t>
      </w:r>
      <w:r>
        <w:rPr/>
        <w:t>las</w:t>
      </w:r>
      <w:r>
        <w:rPr>
          <w:spacing w:val="-12"/>
        </w:rPr>
        <w:t> </w:t>
      </w:r>
      <w:r>
        <w:rPr/>
        <w:t>etapas</w:t>
      </w:r>
      <w:r>
        <w:rPr>
          <w:spacing w:val="-14"/>
        </w:rPr>
        <w:t> </w:t>
      </w:r>
      <w:r>
        <w:rPr/>
        <w:t>correspondientes</w:t>
      </w:r>
      <w:r>
        <w:rPr>
          <w:spacing w:val="-10"/>
        </w:rPr>
        <w:t> </w:t>
      </w:r>
      <w:r>
        <w:rPr/>
        <w:t>que</w:t>
      </w:r>
      <w:r>
        <w:rPr>
          <w:spacing w:val="-14"/>
        </w:rPr>
        <w:t> </w:t>
      </w:r>
      <w:r>
        <w:rPr/>
        <w:t>se</w:t>
      </w:r>
      <w:r>
        <w:rPr>
          <w:spacing w:val="-11"/>
        </w:rPr>
        <w:t> </w:t>
      </w:r>
      <w:r>
        <w:rPr/>
        <w:t>irían</w:t>
      </w:r>
      <w:r>
        <w:rPr>
          <w:spacing w:val="-11"/>
        </w:rPr>
        <w:t> </w:t>
      </w:r>
      <w:r>
        <w:rPr/>
        <w:t>ejecutando</w:t>
      </w:r>
      <w:r>
        <w:rPr>
          <w:spacing w:val="-11"/>
        </w:rPr>
        <w:t> </w:t>
      </w:r>
      <w:r>
        <w:rPr/>
        <w:t>en</w:t>
      </w:r>
      <w:r>
        <w:rPr>
          <w:spacing w:val="-12"/>
        </w:rPr>
        <w:t> </w:t>
      </w:r>
      <w:r>
        <w:rPr/>
        <w:t>la</w:t>
      </w:r>
      <w:r>
        <w:rPr>
          <w:spacing w:val="-14"/>
        </w:rPr>
        <w:t> </w:t>
      </w:r>
      <w:r>
        <w:rPr/>
        <w:t>medida</w:t>
      </w:r>
      <w:r>
        <w:rPr>
          <w:spacing w:val="-13"/>
        </w:rPr>
        <w:t> </w:t>
      </w:r>
      <w:r>
        <w:rPr/>
        <w:t>en</w:t>
      </w:r>
      <w:r>
        <w:rPr>
          <w:spacing w:val="-12"/>
        </w:rPr>
        <w:t> </w:t>
      </w:r>
      <w:r>
        <w:rPr/>
        <w:t>la que se obtuvieran los recursos económicos suficientes para su construcción.</w:t>
      </w:r>
    </w:p>
    <w:p>
      <w:pPr>
        <w:pStyle w:val="BodyText"/>
        <w:spacing w:line="244" w:lineRule="auto" w:before="237"/>
        <w:ind w:left="995" w:right="847"/>
        <w:jc w:val="both"/>
      </w:pPr>
      <w:r>
        <w:rPr/>
        <w:t>Con fecha 4 de enero de 2016, el Consejo de Administración de la Sociedad acordó el soterramiento del paso a nivel de la Senda de los Garres.</w:t>
      </w:r>
    </w:p>
    <w:p>
      <w:pPr>
        <w:pStyle w:val="BodyText"/>
        <w:spacing w:before="9"/>
      </w:pPr>
    </w:p>
    <w:p>
      <w:pPr>
        <w:pStyle w:val="BodyText"/>
        <w:spacing w:line="244" w:lineRule="auto"/>
        <w:ind w:left="995" w:right="837"/>
        <w:jc w:val="both"/>
      </w:pPr>
      <w:r>
        <w:rPr/>
        <w:t>Con</w:t>
      </w:r>
      <w:r>
        <w:rPr>
          <w:spacing w:val="-12"/>
        </w:rPr>
        <w:t> </w:t>
      </w:r>
      <w:r>
        <w:rPr/>
        <w:t>fecha</w:t>
      </w:r>
      <w:r>
        <w:rPr>
          <w:spacing w:val="-12"/>
        </w:rPr>
        <w:t> </w:t>
      </w:r>
      <w:r>
        <w:rPr/>
        <w:t>2</w:t>
      </w:r>
      <w:r>
        <w:rPr>
          <w:spacing w:val="-12"/>
        </w:rPr>
        <w:t> </w:t>
      </w:r>
      <w:r>
        <w:rPr/>
        <w:t>de</w:t>
      </w:r>
      <w:r>
        <w:rPr>
          <w:spacing w:val="-12"/>
        </w:rPr>
        <w:t> </w:t>
      </w:r>
      <w:r>
        <w:rPr/>
        <w:t>octubre</w:t>
      </w:r>
      <w:r>
        <w:rPr>
          <w:spacing w:val="-14"/>
        </w:rPr>
        <w:t> </w:t>
      </w:r>
      <w:r>
        <w:rPr/>
        <w:t>de</w:t>
      </w:r>
      <w:r>
        <w:rPr>
          <w:spacing w:val="-11"/>
        </w:rPr>
        <w:t> </w:t>
      </w:r>
      <w:r>
        <w:rPr/>
        <w:t>2017,</w:t>
      </w:r>
      <w:r>
        <w:rPr>
          <w:spacing w:val="-12"/>
        </w:rPr>
        <w:t> </w:t>
      </w:r>
      <w:r>
        <w:rPr/>
        <w:t>el</w:t>
      </w:r>
      <w:r>
        <w:rPr>
          <w:spacing w:val="-12"/>
        </w:rPr>
        <w:t> </w:t>
      </w:r>
      <w:r>
        <w:rPr/>
        <w:t>Consejo</w:t>
      </w:r>
      <w:r>
        <w:rPr>
          <w:spacing w:val="-12"/>
        </w:rPr>
        <w:t> </w:t>
      </w:r>
      <w:r>
        <w:rPr/>
        <w:t>de</w:t>
      </w:r>
      <w:r>
        <w:rPr>
          <w:spacing w:val="-12"/>
        </w:rPr>
        <w:t> </w:t>
      </w:r>
      <w:r>
        <w:rPr/>
        <w:t>Administración</w:t>
      </w:r>
      <w:r>
        <w:rPr>
          <w:spacing w:val="-13"/>
        </w:rPr>
        <w:t> </w:t>
      </w:r>
      <w:r>
        <w:rPr/>
        <w:t>de</w:t>
      </w:r>
      <w:r>
        <w:rPr>
          <w:spacing w:val="-12"/>
        </w:rPr>
        <w:t> </w:t>
      </w:r>
      <w:r>
        <w:rPr/>
        <w:t>la</w:t>
      </w:r>
      <w:r>
        <w:rPr>
          <w:spacing w:val="-13"/>
        </w:rPr>
        <w:t> </w:t>
      </w:r>
      <w:r>
        <w:rPr/>
        <w:t>Sociedad</w:t>
      </w:r>
      <w:r>
        <w:rPr>
          <w:spacing w:val="-13"/>
        </w:rPr>
        <w:t> </w:t>
      </w:r>
      <w:r>
        <w:rPr/>
        <w:t>adoptó</w:t>
      </w:r>
      <w:r>
        <w:rPr>
          <w:spacing w:val="-12"/>
        </w:rPr>
        <w:t> </w:t>
      </w:r>
      <w:r>
        <w:rPr/>
        <w:t>entre</w:t>
      </w:r>
      <w:r>
        <w:rPr>
          <w:spacing w:val="-12"/>
        </w:rPr>
        <w:t> </w:t>
      </w:r>
      <w:r>
        <w:rPr/>
        <w:t>otros</w:t>
      </w:r>
      <w:r>
        <w:rPr>
          <w:spacing w:val="-12"/>
        </w:rPr>
        <w:t> </w:t>
      </w:r>
      <w:r>
        <w:rPr/>
        <w:t>varios </w:t>
      </w:r>
      <w:r>
        <w:rPr>
          <w:spacing w:val="-2"/>
        </w:rPr>
        <w:t>acuerdos:</w:t>
      </w:r>
    </w:p>
    <w:p>
      <w:pPr>
        <w:pStyle w:val="ListParagraph"/>
        <w:numPr>
          <w:ilvl w:val="1"/>
          <w:numId w:val="2"/>
        </w:numPr>
        <w:tabs>
          <w:tab w:pos="1274" w:val="left" w:leader="none"/>
          <w:tab w:pos="1278" w:val="left" w:leader="none"/>
        </w:tabs>
        <w:spacing w:line="247" w:lineRule="auto" w:before="243" w:after="0"/>
        <w:ind w:left="1278" w:right="842" w:hanging="141"/>
        <w:jc w:val="both"/>
        <w:rPr>
          <w:sz w:val="22"/>
        </w:rPr>
      </w:pPr>
      <w:r>
        <w:rPr>
          <w:sz w:val="22"/>
        </w:rPr>
        <w:t>Aprobar la propuesta realizada por ADIF – Alta Velocidad consistente en modificar las Fases del Proyecto</w:t>
      </w:r>
      <w:r>
        <w:rPr>
          <w:spacing w:val="-3"/>
          <w:sz w:val="22"/>
        </w:rPr>
        <w:t> </w:t>
      </w:r>
      <w:r>
        <w:rPr>
          <w:sz w:val="22"/>
        </w:rPr>
        <w:t>Global</w:t>
      </w:r>
      <w:r>
        <w:rPr>
          <w:spacing w:val="-4"/>
          <w:sz w:val="22"/>
        </w:rPr>
        <w:t> </w:t>
      </w:r>
      <w:r>
        <w:rPr>
          <w:sz w:val="22"/>
        </w:rPr>
        <w:t>de</w:t>
      </w:r>
      <w:r>
        <w:rPr>
          <w:spacing w:val="-5"/>
          <w:sz w:val="22"/>
        </w:rPr>
        <w:t> </w:t>
      </w:r>
      <w:r>
        <w:rPr>
          <w:sz w:val="22"/>
        </w:rPr>
        <w:t>Integración</w:t>
      </w:r>
      <w:r>
        <w:rPr>
          <w:spacing w:val="-3"/>
          <w:sz w:val="22"/>
        </w:rPr>
        <w:t> </w:t>
      </w:r>
      <w:r>
        <w:rPr>
          <w:sz w:val="22"/>
        </w:rPr>
        <w:t>acordadas</w:t>
      </w:r>
      <w:r>
        <w:rPr>
          <w:spacing w:val="-4"/>
          <w:sz w:val="22"/>
        </w:rPr>
        <w:t> </w:t>
      </w:r>
      <w:r>
        <w:rPr>
          <w:sz w:val="22"/>
        </w:rPr>
        <w:t>en</w:t>
      </w:r>
      <w:r>
        <w:rPr>
          <w:spacing w:val="-4"/>
          <w:sz w:val="22"/>
        </w:rPr>
        <w:t> </w:t>
      </w:r>
      <w:r>
        <w:rPr>
          <w:sz w:val="22"/>
        </w:rPr>
        <w:t>la</w:t>
      </w:r>
      <w:r>
        <w:rPr>
          <w:spacing w:val="-5"/>
          <w:sz w:val="22"/>
        </w:rPr>
        <w:t> </w:t>
      </w:r>
      <w:r>
        <w:rPr>
          <w:sz w:val="22"/>
        </w:rPr>
        <w:t>sesión</w:t>
      </w:r>
      <w:r>
        <w:rPr>
          <w:spacing w:val="-6"/>
          <w:sz w:val="22"/>
        </w:rPr>
        <w:t> </w:t>
      </w:r>
      <w:r>
        <w:rPr>
          <w:sz w:val="22"/>
        </w:rPr>
        <w:t>ordinaria</w:t>
      </w:r>
      <w:r>
        <w:rPr>
          <w:spacing w:val="-4"/>
          <w:sz w:val="22"/>
        </w:rPr>
        <w:t> </w:t>
      </w:r>
      <w:r>
        <w:rPr>
          <w:sz w:val="22"/>
        </w:rPr>
        <w:t>del</w:t>
      </w:r>
      <w:r>
        <w:rPr>
          <w:spacing w:val="-4"/>
          <w:sz w:val="22"/>
        </w:rPr>
        <w:t> </w:t>
      </w:r>
      <w:r>
        <w:rPr>
          <w:sz w:val="22"/>
        </w:rPr>
        <w:t>Consejo</w:t>
      </w:r>
      <w:r>
        <w:rPr>
          <w:spacing w:val="-4"/>
          <w:sz w:val="22"/>
        </w:rPr>
        <w:t> </w:t>
      </w:r>
      <w:r>
        <w:rPr>
          <w:sz w:val="22"/>
        </w:rPr>
        <w:t>de</w:t>
      </w:r>
      <w:r>
        <w:rPr>
          <w:spacing w:val="-5"/>
          <w:sz w:val="22"/>
        </w:rPr>
        <w:t> </w:t>
      </w:r>
      <w:r>
        <w:rPr>
          <w:sz w:val="22"/>
        </w:rPr>
        <w:t>Administración</w:t>
      </w:r>
      <w:r>
        <w:rPr>
          <w:spacing w:val="-3"/>
          <w:sz w:val="22"/>
        </w:rPr>
        <w:t> </w:t>
      </w:r>
      <w:r>
        <w:rPr>
          <w:sz w:val="22"/>
        </w:rPr>
        <w:t>de fecha 27 de marzo de 2015,</w:t>
      </w:r>
      <w:r>
        <w:rPr>
          <w:spacing w:val="-1"/>
          <w:sz w:val="22"/>
        </w:rPr>
        <w:t> </w:t>
      </w:r>
      <w:r>
        <w:rPr>
          <w:sz w:val="22"/>
        </w:rPr>
        <w:t>y modificadas parcialmente en la sesión del Consejo de 4</w:t>
      </w:r>
      <w:r>
        <w:rPr>
          <w:spacing w:val="-1"/>
          <w:sz w:val="22"/>
        </w:rPr>
        <w:t> </w:t>
      </w:r>
      <w:r>
        <w:rPr>
          <w:sz w:val="22"/>
        </w:rPr>
        <w:t>de enero de 2016, con el fin de unificar en una sola actuación las fases del soterramiento de la Estación y </w:t>
      </w:r>
      <w:r>
        <w:rPr>
          <w:spacing w:val="-2"/>
          <w:sz w:val="22"/>
        </w:rPr>
        <w:t>Barriomar.</w:t>
      </w:r>
    </w:p>
    <w:p>
      <w:pPr>
        <w:pStyle w:val="ListParagraph"/>
        <w:numPr>
          <w:ilvl w:val="1"/>
          <w:numId w:val="2"/>
        </w:numPr>
        <w:tabs>
          <w:tab w:pos="1274" w:val="left" w:leader="none"/>
          <w:tab w:pos="1278" w:val="left" w:leader="none"/>
        </w:tabs>
        <w:spacing w:line="247" w:lineRule="auto" w:before="236" w:after="0"/>
        <w:ind w:left="1278" w:right="845" w:hanging="141"/>
        <w:jc w:val="both"/>
        <w:rPr>
          <w:sz w:val="22"/>
        </w:rPr>
      </w:pPr>
      <w:r>
        <w:rPr>
          <w:sz w:val="22"/>
        </w:rPr>
        <w:t>Aceptar la adaptación de las obras con la finalidad de hacer las mismas compatibles con el soterramiento de la estación y la llegada a la cota – 8,00 m, ejecutándose la correspondiente vía provisional a la cota 0 para mantener el actual servicio ferroviario.</w:t>
      </w:r>
    </w:p>
    <w:p>
      <w:pPr>
        <w:pStyle w:val="ListParagraph"/>
        <w:numPr>
          <w:ilvl w:val="1"/>
          <w:numId w:val="2"/>
        </w:numPr>
        <w:tabs>
          <w:tab w:pos="1274" w:val="left" w:leader="none"/>
          <w:tab w:pos="1278" w:val="left" w:leader="none"/>
        </w:tabs>
        <w:spacing w:line="247" w:lineRule="auto" w:before="237" w:after="0"/>
        <w:ind w:left="1278" w:right="838" w:hanging="141"/>
        <w:jc w:val="both"/>
        <w:rPr>
          <w:sz w:val="22"/>
        </w:rPr>
      </w:pPr>
      <w:r>
        <w:rPr>
          <w:sz w:val="22"/>
        </w:rPr>
        <w:t>Proponer</w:t>
      </w:r>
      <w:r>
        <w:rPr>
          <w:spacing w:val="-9"/>
          <w:sz w:val="22"/>
        </w:rPr>
        <w:t> </w:t>
      </w:r>
      <w:r>
        <w:rPr>
          <w:sz w:val="22"/>
        </w:rPr>
        <w:t>al</w:t>
      </w:r>
      <w:r>
        <w:rPr>
          <w:spacing w:val="-12"/>
          <w:sz w:val="22"/>
        </w:rPr>
        <w:t> </w:t>
      </w:r>
      <w:r>
        <w:rPr>
          <w:sz w:val="22"/>
        </w:rPr>
        <w:t>Excmo.</w:t>
      </w:r>
      <w:r>
        <w:rPr>
          <w:spacing w:val="-10"/>
          <w:sz w:val="22"/>
        </w:rPr>
        <w:t> </w:t>
      </w:r>
      <w:r>
        <w:rPr>
          <w:sz w:val="22"/>
        </w:rPr>
        <w:t>Ayuntamiento</w:t>
      </w:r>
      <w:r>
        <w:rPr>
          <w:spacing w:val="-10"/>
          <w:sz w:val="22"/>
        </w:rPr>
        <w:t> </w:t>
      </w:r>
      <w:r>
        <w:rPr>
          <w:sz w:val="22"/>
        </w:rPr>
        <w:t>de</w:t>
      </w:r>
      <w:r>
        <w:rPr>
          <w:spacing w:val="-10"/>
          <w:sz w:val="22"/>
        </w:rPr>
        <w:t> </w:t>
      </w:r>
      <w:r>
        <w:rPr>
          <w:sz w:val="22"/>
        </w:rPr>
        <w:t>Murcia,</w:t>
      </w:r>
      <w:r>
        <w:rPr>
          <w:spacing w:val="-11"/>
          <w:sz w:val="22"/>
        </w:rPr>
        <w:t> </w:t>
      </w:r>
      <w:r>
        <w:rPr>
          <w:sz w:val="22"/>
        </w:rPr>
        <w:t>a</w:t>
      </w:r>
      <w:r>
        <w:rPr>
          <w:spacing w:val="-10"/>
          <w:sz w:val="22"/>
        </w:rPr>
        <w:t> </w:t>
      </w:r>
      <w:r>
        <w:rPr>
          <w:sz w:val="22"/>
        </w:rPr>
        <w:t>la</w:t>
      </w:r>
      <w:r>
        <w:rPr>
          <w:spacing w:val="-10"/>
          <w:sz w:val="22"/>
        </w:rPr>
        <w:t> </w:t>
      </w:r>
      <w:r>
        <w:rPr>
          <w:sz w:val="22"/>
        </w:rPr>
        <w:t>Comunidad</w:t>
      </w:r>
      <w:r>
        <w:rPr>
          <w:spacing w:val="-9"/>
          <w:sz w:val="22"/>
        </w:rPr>
        <w:t> </w:t>
      </w:r>
      <w:r>
        <w:rPr>
          <w:sz w:val="22"/>
        </w:rPr>
        <w:t>Autónoma</w:t>
      </w:r>
      <w:r>
        <w:rPr>
          <w:spacing w:val="-12"/>
          <w:sz w:val="22"/>
        </w:rPr>
        <w:t> </w:t>
      </w:r>
      <w:r>
        <w:rPr>
          <w:sz w:val="22"/>
        </w:rPr>
        <w:t>de</w:t>
      </w:r>
      <w:r>
        <w:rPr>
          <w:spacing w:val="-12"/>
          <w:sz w:val="22"/>
        </w:rPr>
        <w:t> </w:t>
      </w:r>
      <w:r>
        <w:rPr>
          <w:sz w:val="22"/>
        </w:rPr>
        <w:t>Murcia</w:t>
      </w:r>
      <w:r>
        <w:rPr>
          <w:spacing w:val="-10"/>
          <w:sz w:val="22"/>
        </w:rPr>
        <w:t> </w:t>
      </w:r>
      <w:r>
        <w:rPr>
          <w:sz w:val="22"/>
        </w:rPr>
        <w:t>y</w:t>
      </w:r>
      <w:r>
        <w:rPr>
          <w:spacing w:val="-10"/>
          <w:sz w:val="22"/>
        </w:rPr>
        <w:t> </w:t>
      </w:r>
      <w:r>
        <w:rPr>
          <w:sz w:val="22"/>
        </w:rPr>
        <w:t>a</w:t>
      </w:r>
      <w:r>
        <w:rPr>
          <w:spacing w:val="-12"/>
          <w:sz w:val="22"/>
        </w:rPr>
        <w:t> </w:t>
      </w:r>
      <w:r>
        <w:rPr>
          <w:sz w:val="22"/>
        </w:rPr>
        <w:t>las</w:t>
      </w:r>
      <w:r>
        <w:rPr>
          <w:spacing w:val="-10"/>
          <w:sz w:val="22"/>
        </w:rPr>
        <w:t> </w:t>
      </w:r>
      <w:r>
        <w:rPr>
          <w:sz w:val="22"/>
        </w:rPr>
        <w:t>E.P.E.s ADIF</w:t>
      </w:r>
      <w:r>
        <w:rPr>
          <w:spacing w:val="-7"/>
          <w:sz w:val="22"/>
        </w:rPr>
        <w:t> </w:t>
      </w:r>
      <w:r>
        <w:rPr>
          <w:sz w:val="22"/>
        </w:rPr>
        <w:t>y</w:t>
      </w:r>
      <w:r>
        <w:rPr>
          <w:spacing w:val="-4"/>
          <w:sz w:val="22"/>
        </w:rPr>
        <w:t> </w:t>
      </w:r>
      <w:r>
        <w:rPr>
          <w:sz w:val="22"/>
        </w:rPr>
        <w:t>ADIF</w:t>
      </w:r>
      <w:r>
        <w:rPr>
          <w:spacing w:val="-4"/>
          <w:sz w:val="22"/>
        </w:rPr>
        <w:t> </w:t>
      </w:r>
      <w:r>
        <w:rPr>
          <w:sz w:val="22"/>
        </w:rPr>
        <w:t>–</w:t>
      </w:r>
      <w:r>
        <w:rPr>
          <w:spacing w:val="-6"/>
          <w:sz w:val="22"/>
        </w:rPr>
        <w:t> </w:t>
      </w:r>
      <w:r>
        <w:rPr>
          <w:sz w:val="22"/>
        </w:rPr>
        <w:t>Alta</w:t>
      </w:r>
      <w:r>
        <w:rPr>
          <w:spacing w:val="-7"/>
          <w:sz w:val="22"/>
        </w:rPr>
        <w:t> </w:t>
      </w:r>
      <w:r>
        <w:rPr>
          <w:sz w:val="22"/>
        </w:rPr>
        <w:t>Velocidad</w:t>
      </w:r>
      <w:r>
        <w:rPr>
          <w:spacing w:val="-6"/>
          <w:sz w:val="22"/>
        </w:rPr>
        <w:t> </w:t>
      </w:r>
      <w:r>
        <w:rPr>
          <w:sz w:val="22"/>
        </w:rPr>
        <w:t>la</w:t>
      </w:r>
      <w:r>
        <w:rPr>
          <w:spacing w:val="-7"/>
          <w:sz w:val="22"/>
        </w:rPr>
        <w:t> </w:t>
      </w:r>
      <w:r>
        <w:rPr>
          <w:sz w:val="22"/>
        </w:rPr>
        <w:t>aprobación</w:t>
      </w:r>
      <w:r>
        <w:rPr>
          <w:spacing w:val="-5"/>
          <w:sz w:val="22"/>
        </w:rPr>
        <w:t> </w:t>
      </w:r>
      <w:r>
        <w:rPr>
          <w:sz w:val="22"/>
        </w:rPr>
        <w:t>de</w:t>
      </w:r>
      <w:r>
        <w:rPr>
          <w:spacing w:val="-7"/>
          <w:sz w:val="22"/>
        </w:rPr>
        <w:t> </w:t>
      </w:r>
      <w:r>
        <w:rPr>
          <w:sz w:val="22"/>
        </w:rPr>
        <w:t>la</w:t>
      </w:r>
      <w:r>
        <w:rPr>
          <w:spacing w:val="-7"/>
          <w:sz w:val="22"/>
        </w:rPr>
        <w:t> </w:t>
      </w:r>
      <w:r>
        <w:rPr>
          <w:sz w:val="22"/>
        </w:rPr>
        <w:t>estructura</w:t>
      </w:r>
      <w:r>
        <w:rPr>
          <w:spacing w:val="-7"/>
          <w:sz w:val="22"/>
        </w:rPr>
        <w:t> </w:t>
      </w:r>
      <w:r>
        <w:rPr>
          <w:sz w:val="22"/>
        </w:rPr>
        <w:t>de</w:t>
      </w:r>
      <w:r>
        <w:rPr>
          <w:spacing w:val="-7"/>
          <w:sz w:val="22"/>
        </w:rPr>
        <w:t> </w:t>
      </w:r>
      <w:r>
        <w:rPr>
          <w:sz w:val="22"/>
        </w:rPr>
        <w:t>la</w:t>
      </w:r>
      <w:r>
        <w:rPr>
          <w:spacing w:val="-7"/>
          <w:sz w:val="22"/>
        </w:rPr>
        <w:t> </w:t>
      </w:r>
      <w:r>
        <w:rPr>
          <w:sz w:val="22"/>
        </w:rPr>
        <w:t>financiación</w:t>
      </w:r>
      <w:r>
        <w:rPr>
          <w:spacing w:val="-5"/>
          <w:sz w:val="22"/>
        </w:rPr>
        <w:t> </w:t>
      </w:r>
      <w:r>
        <w:rPr>
          <w:sz w:val="22"/>
        </w:rPr>
        <w:t>de</w:t>
      </w:r>
      <w:r>
        <w:rPr>
          <w:spacing w:val="-7"/>
          <w:sz w:val="22"/>
        </w:rPr>
        <w:t> </w:t>
      </w:r>
      <w:r>
        <w:rPr>
          <w:sz w:val="22"/>
        </w:rPr>
        <w:t>las</w:t>
      </w:r>
      <w:r>
        <w:rPr>
          <w:spacing w:val="-7"/>
          <w:sz w:val="22"/>
        </w:rPr>
        <w:t> </w:t>
      </w:r>
      <w:r>
        <w:rPr>
          <w:sz w:val="22"/>
        </w:rPr>
        <w:t>actuaciones necesarias</w:t>
      </w:r>
      <w:r>
        <w:rPr>
          <w:spacing w:val="-3"/>
          <w:sz w:val="22"/>
        </w:rPr>
        <w:t> </w:t>
      </w:r>
      <w:r>
        <w:rPr>
          <w:sz w:val="22"/>
        </w:rPr>
        <w:t>para</w:t>
      </w:r>
      <w:r>
        <w:rPr>
          <w:spacing w:val="-5"/>
          <w:sz w:val="22"/>
        </w:rPr>
        <w:t> </w:t>
      </w:r>
      <w:r>
        <w:rPr>
          <w:sz w:val="22"/>
        </w:rPr>
        <w:t>la</w:t>
      </w:r>
      <w:r>
        <w:rPr>
          <w:spacing w:val="-4"/>
          <w:sz w:val="22"/>
        </w:rPr>
        <w:t> </w:t>
      </w:r>
      <w:r>
        <w:rPr>
          <w:sz w:val="22"/>
        </w:rPr>
        <w:t>integración</w:t>
      </w:r>
      <w:r>
        <w:rPr>
          <w:spacing w:val="-3"/>
          <w:sz w:val="22"/>
        </w:rPr>
        <w:t> </w:t>
      </w:r>
      <w:r>
        <w:rPr>
          <w:sz w:val="22"/>
        </w:rPr>
        <w:t>global</w:t>
      </w:r>
      <w:r>
        <w:rPr>
          <w:spacing w:val="-3"/>
          <w:sz w:val="22"/>
        </w:rPr>
        <w:t> </w:t>
      </w:r>
      <w:r>
        <w:rPr>
          <w:sz w:val="22"/>
        </w:rPr>
        <w:t>del</w:t>
      </w:r>
      <w:r>
        <w:rPr>
          <w:spacing w:val="-5"/>
          <w:sz w:val="22"/>
        </w:rPr>
        <w:t> </w:t>
      </w:r>
      <w:r>
        <w:rPr>
          <w:sz w:val="22"/>
        </w:rPr>
        <w:t>ferrocarril</w:t>
      </w:r>
      <w:r>
        <w:rPr>
          <w:spacing w:val="-3"/>
          <w:sz w:val="22"/>
        </w:rPr>
        <w:t> </w:t>
      </w:r>
      <w:r>
        <w:rPr>
          <w:sz w:val="22"/>
        </w:rPr>
        <w:t>en</w:t>
      </w:r>
      <w:r>
        <w:rPr>
          <w:spacing w:val="-5"/>
          <w:sz w:val="22"/>
        </w:rPr>
        <w:t> </w:t>
      </w:r>
      <w:r>
        <w:rPr>
          <w:sz w:val="22"/>
        </w:rPr>
        <w:t>la</w:t>
      </w:r>
      <w:r>
        <w:rPr>
          <w:spacing w:val="-4"/>
          <w:sz w:val="22"/>
        </w:rPr>
        <w:t> </w:t>
      </w:r>
      <w:r>
        <w:rPr>
          <w:sz w:val="22"/>
        </w:rPr>
        <w:t>ciudad</w:t>
      </w:r>
      <w:r>
        <w:rPr>
          <w:spacing w:val="-3"/>
          <w:sz w:val="22"/>
        </w:rPr>
        <w:t> </w:t>
      </w:r>
      <w:r>
        <w:rPr>
          <w:sz w:val="22"/>
        </w:rPr>
        <w:t>de</w:t>
      </w:r>
      <w:r>
        <w:rPr>
          <w:spacing w:val="-7"/>
          <w:sz w:val="22"/>
        </w:rPr>
        <w:t> </w:t>
      </w:r>
      <w:r>
        <w:rPr>
          <w:sz w:val="22"/>
        </w:rPr>
        <w:t>Murcia</w:t>
      </w:r>
      <w:r>
        <w:rPr>
          <w:spacing w:val="-3"/>
          <w:sz w:val="22"/>
        </w:rPr>
        <w:t> </w:t>
      </w:r>
      <w:r>
        <w:rPr>
          <w:sz w:val="22"/>
        </w:rPr>
        <w:t>de</w:t>
      </w:r>
      <w:r>
        <w:rPr>
          <w:spacing w:val="-4"/>
          <w:sz w:val="22"/>
        </w:rPr>
        <w:t> </w:t>
      </w:r>
      <w:r>
        <w:rPr>
          <w:sz w:val="22"/>
        </w:rPr>
        <w:t>conformidad</w:t>
      </w:r>
      <w:r>
        <w:rPr>
          <w:spacing w:val="-2"/>
          <w:sz w:val="22"/>
        </w:rPr>
        <w:t> </w:t>
      </w:r>
      <w:r>
        <w:rPr>
          <w:sz w:val="22"/>
        </w:rPr>
        <w:t>con</w:t>
      </w:r>
      <w:r>
        <w:rPr>
          <w:spacing w:val="-2"/>
          <w:sz w:val="22"/>
        </w:rPr>
        <w:t> </w:t>
      </w:r>
      <w:r>
        <w:rPr>
          <w:sz w:val="22"/>
        </w:rPr>
        <w:t>los porcentajes</w:t>
      </w:r>
      <w:r>
        <w:rPr>
          <w:spacing w:val="-7"/>
          <w:sz w:val="22"/>
        </w:rPr>
        <w:t> </w:t>
      </w:r>
      <w:r>
        <w:rPr>
          <w:sz w:val="22"/>
        </w:rPr>
        <w:t>establecidos</w:t>
      </w:r>
      <w:r>
        <w:rPr>
          <w:spacing w:val="-7"/>
          <w:sz w:val="22"/>
        </w:rPr>
        <w:t> </w:t>
      </w:r>
      <w:r>
        <w:rPr>
          <w:sz w:val="22"/>
        </w:rPr>
        <w:t>en</w:t>
      </w:r>
      <w:r>
        <w:rPr>
          <w:spacing w:val="-7"/>
          <w:sz w:val="22"/>
        </w:rPr>
        <w:t> </w:t>
      </w:r>
      <w:r>
        <w:rPr>
          <w:sz w:val="22"/>
        </w:rPr>
        <w:t>el</w:t>
      </w:r>
      <w:r>
        <w:rPr>
          <w:spacing w:val="-7"/>
          <w:sz w:val="22"/>
        </w:rPr>
        <w:t> </w:t>
      </w:r>
      <w:r>
        <w:rPr>
          <w:sz w:val="22"/>
        </w:rPr>
        <w:t>Acuerdo</w:t>
      </w:r>
      <w:r>
        <w:rPr>
          <w:spacing w:val="-7"/>
          <w:sz w:val="22"/>
        </w:rPr>
        <w:t> </w:t>
      </w:r>
      <w:r>
        <w:rPr>
          <w:sz w:val="22"/>
        </w:rPr>
        <w:t>VI</w:t>
      </w:r>
      <w:r>
        <w:rPr>
          <w:spacing w:val="-9"/>
          <w:sz w:val="22"/>
        </w:rPr>
        <w:t> </w:t>
      </w:r>
      <w:r>
        <w:rPr>
          <w:sz w:val="22"/>
        </w:rPr>
        <w:t>del</w:t>
      </w:r>
      <w:r>
        <w:rPr>
          <w:spacing w:val="-7"/>
          <w:sz w:val="22"/>
        </w:rPr>
        <w:t> </w:t>
      </w:r>
      <w:r>
        <w:rPr>
          <w:sz w:val="22"/>
        </w:rPr>
        <w:t>Protocolo</w:t>
      </w:r>
      <w:r>
        <w:rPr>
          <w:spacing w:val="-7"/>
          <w:sz w:val="22"/>
        </w:rPr>
        <w:t> </w:t>
      </w:r>
      <w:r>
        <w:rPr>
          <w:sz w:val="22"/>
        </w:rPr>
        <w:t>de</w:t>
      </w:r>
      <w:r>
        <w:rPr>
          <w:spacing w:val="-7"/>
          <w:sz w:val="22"/>
        </w:rPr>
        <w:t> </w:t>
      </w:r>
      <w:r>
        <w:rPr>
          <w:sz w:val="22"/>
        </w:rPr>
        <w:t>2006,</w:t>
      </w:r>
      <w:r>
        <w:rPr>
          <w:spacing w:val="-9"/>
          <w:sz w:val="22"/>
        </w:rPr>
        <w:t> </w:t>
      </w:r>
      <w:r>
        <w:rPr>
          <w:sz w:val="22"/>
        </w:rPr>
        <w:t>consignando</w:t>
      </w:r>
      <w:r>
        <w:rPr>
          <w:spacing w:val="-7"/>
          <w:sz w:val="22"/>
        </w:rPr>
        <w:t> </w:t>
      </w:r>
      <w:r>
        <w:rPr>
          <w:sz w:val="22"/>
        </w:rPr>
        <w:t>en</w:t>
      </w:r>
      <w:r>
        <w:rPr>
          <w:spacing w:val="-7"/>
          <w:sz w:val="22"/>
        </w:rPr>
        <w:t> </w:t>
      </w:r>
      <w:r>
        <w:rPr>
          <w:sz w:val="22"/>
        </w:rPr>
        <w:t>sus</w:t>
      </w:r>
      <w:r>
        <w:rPr>
          <w:spacing w:val="-7"/>
          <w:sz w:val="22"/>
        </w:rPr>
        <w:t> </w:t>
      </w:r>
      <w:r>
        <w:rPr>
          <w:sz w:val="22"/>
        </w:rPr>
        <w:t>presupuestos las cantidades estimadas correspondientes a cada una de las anualidades hasta el año 2023, tanto aquellas</w:t>
      </w:r>
      <w:r>
        <w:rPr>
          <w:spacing w:val="-7"/>
          <w:sz w:val="22"/>
        </w:rPr>
        <w:t> </w:t>
      </w:r>
      <w:r>
        <w:rPr>
          <w:sz w:val="22"/>
        </w:rPr>
        <w:t>que</w:t>
      </w:r>
      <w:r>
        <w:rPr>
          <w:spacing w:val="-7"/>
          <w:sz w:val="22"/>
        </w:rPr>
        <w:t> </w:t>
      </w:r>
      <w:r>
        <w:rPr>
          <w:sz w:val="22"/>
        </w:rPr>
        <w:t>se</w:t>
      </w:r>
      <w:r>
        <w:rPr>
          <w:spacing w:val="-7"/>
          <w:sz w:val="22"/>
        </w:rPr>
        <w:t> </w:t>
      </w:r>
      <w:r>
        <w:rPr>
          <w:sz w:val="22"/>
        </w:rPr>
        <w:t>abonarán</w:t>
      </w:r>
      <w:r>
        <w:rPr>
          <w:spacing w:val="-6"/>
          <w:sz w:val="22"/>
        </w:rPr>
        <w:t> </w:t>
      </w:r>
      <w:r>
        <w:rPr>
          <w:sz w:val="22"/>
        </w:rPr>
        <w:t>a</w:t>
      </w:r>
      <w:r>
        <w:rPr>
          <w:spacing w:val="-8"/>
          <w:sz w:val="22"/>
        </w:rPr>
        <w:t> </w:t>
      </w:r>
      <w:r>
        <w:rPr>
          <w:sz w:val="22"/>
        </w:rPr>
        <w:t>ADIF</w:t>
      </w:r>
      <w:r>
        <w:rPr>
          <w:spacing w:val="-7"/>
          <w:sz w:val="22"/>
        </w:rPr>
        <w:t> </w:t>
      </w:r>
      <w:r>
        <w:rPr>
          <w:sz w:val="22"/>
        </w:rPr>
        <w:t>–</w:t>
      </w:r>
      <w:r>
        <w:rPr>
          <w:spacing w:val="-3"/>
          <w:sz w:val="22"/>
        </w:rPr>
        <w:t> </w:t>
      </w:r>
      <w:r>
        <w:rPr>
          <w:sz w:val="22"/>
        </w:rPr>
        <w:t>Alta</w:t>
      </w:r>
      <w:r>
        <w:rPr>
          <w:spacing w:val="-6"/>
          <w:sz w:val="22"/>
        </w:rPr>
        <w:t> </w:t>
      </w:r>
      <w:r>
        <w:rPr>
          <w:sz w:val="22"/>
        </w:rPr>
        <w:t>Velocidad</w:t>
      </w:r>
      <w:r>
        <w:rPr>
          <w:spacing w:val="-6"/>
          <w:sz w:val="22"/>
        </w:rPr>
        <w:t> </w:t>
      </w:r>
      <w:r>
        <w:rPr>
          <w:sz w:val="22"/>
        </w:rPr>
        <w:t>como</w:t>
      </w:r>
      <w:r>
        <w:rPr>
          <w:spacing w:val="-6"/>
          <w:sz w:val="22"/>
        </w:rPr>
        <w:t> </w:t>
      </w:r>
      <w:r>
        <w:rPr>
          <w:sz w:val="22"/>
        </w:rPr>
        <w:t>consecuencia</w:t>
      </w:r>
      <w:r>
        <w:rPr>
          <w:spacing w:val="-6"/>
          <w:sz w:val="22"/>
        </w:rPr>
        <w:t> </w:t>
      </w:r>
      <w:r>
        <w:rPr>
          <w:sz w:val="22"/>
        </w:rPr>
        <w:t>de</w:t>
      </w:r>
      <w:r>
        <w:rPr>
          <w:spacing w:val="-7"/>
          <w:sz w:val="22"/>
        </w:rPr>
        <w:t> </w:t>
      </w:r>
      <w:r>
        <w:rPr>
          <w:sz w:val="22"/>
        </w:rPr>
        <w:t>la</w:t>
      </w:r>
      <w:r>
        <w:rPr>
          <w:spacing w:val="-7"/>
          <w:sz w:val="22"/>
        </w:rPr>
        <w:t> </w:t>
      </w:r>
      <w:r>
        <w:rPr>
          <w:sz w:val="22"/>
        </w:rPr>
        <w:t>ejecución</w:t>
      </w:r>
      <w:r>
        <w:rPr>
          <w:spacing w:val="-6"/>
          <w:sz w:val="22"/>
        </w:rPr>
        <w:t> </w:t>
      </w:r>
      <w:r>
        <w:rPr>
          <w:sz w:val="22"/>
        </w:rPr>
        <w:t>de</w:t>
      </w:r>
      <w:r>
        <w:rPr>
          <w:spacing w:val="-7"/>
          <w:sz w:val="22"/>
        </w:rPr>
        <w:t> </w:t>
      </w:r>
      <w:r>
        <w:rPr>
          <w:sz w:val="22"/>
        </w:rPr>
        <w:t>las</w:t>
      </w:r>
      <w:r>
        <w:rPr>
          <w:spacing w:val="-7"/>
          <w:sz w:val="22"/>
        </w:rPr>
        <w:t> </w:t>
      </w:r>
      <w:r>
        <w:rPr>
          <w:sz w:val="22"/>
        </w:rPr>
        <w:t>obras en la zona del Santiago el Mayor y Senda de los Garres, como las que se aportarán a la Sociedad “Murcia Alta Velocidad, S.A.” para financiar el resto de la integración y la urbanización.</w:t>
      </w:r>
    </w:p>
    <w:p>
      <w:pPr>
        <w:pStyle w:val="ListParagraph"/>
        <w:numPr>
          <w:ilvl w:val="1"/>
          <w:numId w:val="2"/>
        </w:numPr>
        <w:tabs>
          <w:tab w:pos="1274" w:val="left" w:leader="none"/>
          <w:tab w:pos="1278" w:val="left" w:leader="none"/>
        </w:tabs>
        <w:spacing w:line="247" w:lineRule="auto" w:before="236" w:after="0"/>
        <w:ind w:left="1278" w:right="838" w:hanging="141"/>
        <w:jc w:val="both"/>
        <w:rPr>
          <w:sz w:val="22"/>
        </w:rPr>
      </w:pPr>
      <w:r>
        <w:rPr>
          <w:sz w:val="22"/>
        </w:rPr>
        <w:t>Que,</w:t>
      </w:r>
      <w:r>
        <w:rPr>
          <w:spacing w:val="-2"/>
          <w:sz w:val="22"/>
        </w:rPr>
        <w:t> </w:t>
      </w:r>
      <w:r>
        <w:rPr>
          <w:sz w:val="22"/>
        </w:rPr>
        <w:t>una</w:t>
      </w:r>
      <w:r>
        <w:rPr>
          <w:spacing w:val="-3"/>
          <w:sz w:val="22"/>
        </w:rPr>
        <w:t> </w:t>
      </w:r>
      <w:r>
        <w:rPr>
          <w:sz w:val="22"/>
        </w:rPr>
        <w:t>vez aprobado</w:t>
      </w:r>
      <w:r>
        <w:rPr>
          <w:spacing w:val="-1"/>
          <w:sz w:val="22"/>
        </w:rPr>
        <w:t> </w:t>
      </w:r>
      <w:r>
        <w:rPr>
          <w:sz w:val="22"/>
        </w:rPr>
        <w:t>por</w:t>
      </w:r>
      <w:r>
        <w:rPr>
          <w:spacing w:val="-3"/>
          <w:sz w:val="22"/>
        </w:rPr>
        <w:t> </w:t>
      </w:r>
      <w:r>
        <w:rPr>
          <w:sz w:val="22"/>
        </w:rPr>
        <w:t>todos</w:t>
      </w:r>
      <w:r>
        <w:rPr>
          <w:spacing w:val="-2"/>
          <w:sz w:val="22"/>
        </w:rPr>
        <w:t> </w:t>
      </w:r>
      <w:r>
        <w:rPr>
          <w:sz w:val="22"/>
        </w:rPr>
        <w:t>los</w:t>
      </w:r>
      <w:r>
        <w:rPr>
          <w:spacing w:val="-2"/>
          <w:sz w:val="22"/>
        </w:rPr>
        <w:t> </w:t>
      </w:r>
      <w:r>
        <w:rPr>
          <w:sz w:val="22"/>
        </w:rPr>
        <w:t>órganos</w:t>
      </w:r>
      <w:r>
        <w:rPr>
          <w:spacing w:val="-1"/>
          <w:sz w:val="22"/>
        </w:rPr>
        <w:t> </w:t>
      </w:r>
      <w:r>
        <w:rPr>
          <w:sz w:val="22"/>
        </w:rPr>
        <w:t>de</w:t>
      </w:r>
      <w:r>
        <w:rPr>
          <w:spacing w:val="-3"/>
          <w:sz w:val="22"/>
        </w:rPr>
        <w:t> </w:t>
      </w:r>
      <w:r>
        <w:rPr>
          <w:sz w:val="22"/>
        </w:rPr>
        <w:t>gobierno</w:t>
      </w:r>
      <w:r>
        <w:rPr>
          <w:spacing w:val="-1"/>
          <w:sz w:val="22"/>
        </w:rPr>
        <w:t> </w:t>
      </w:r>
      <w:r>
        <w:rPr>
          <w:sz w:val="22"/>
        </w:rPr>
        <w:t>de</w:t>
      </w:r>
      <w:r>
        <w:rPr>
          <w:spacing w:val="-3"/>
          <w:sz w:val="22"/>
        </w:rPr>
        <w:t> </w:t>
      </w:r>
      <w:r>
        <w:rPr>
          <w:sz w:val="22"/>
        </w:rPr>
        <w:t>los Accionistas</w:t>
      </w:r>
      <w:r>
        <w:rPr>
          <w:spacing w:val="-1"/>
          <w:sz w:val="22"/>
        </w:rPr>
        <w:t> </w:t>
      </w:r>
      <w:r>
        <w:rPr>
          <w:sz w:val="22"/>
        </w:rPr>
        <w:t>la</w:t>
      </w:r>
      <w:r>
        <w:rPr>
          <w:spacing w:val="-1"/>
          <w:sz w:val="22"/>
        </w:rPr>
        <w:t> </w:t>
      </w:r>
      <w:r>
        <w:rPr>
          <w:sz w:val="22"/>
        </w:rPr>
        <w:t>financiación</w:t>
      </w:r>
      <w:r>
        <w:rPr>
          <w:spacing w:val="-1"/>
          <w:sz w:val="22"/>
        </w:rPr>
        <w:t> </w:t>
      </w:r>
      <w:r>
        <w:rPr>
          <w:sz w:val="22"/>
        </w:rPr>
        <w:t>de</w:t>
      </w:r>
      <w:r>
        <w:rPr>
          <w:spacing w:val="-3"/>
          <w:sz w:val="22"/>
        </w:rPr>
        <w:t> </w:t>
      </w:r>
      <w:r>
        <w:rPr>
          <w:sz w:val="22"/>
        </w:rPr>
        <w:t>las actuaciones, solicitar la concesión a favor de “Murcia Alta Velocidad, S.A.” de préstamos participativos</w:t>
      </w:r>
      <w:r>
        <w:rPr>
          <w:spacing w:val="-7"/>
          <w:sz w:val="22"/>
        </w:rPr>
        <w:t> </w:t>
      </w:r>
      <w:r>
        <w:rPr>
          <w:sz w:val="22"/>
        </w:rPr>
        <w:t>con</w:t>
      </w:r>
      <w:r>
        <w:rPr>
          <w:spacing w:val="-7"/>
          <w:sz w:val="22"/>
        </w:rPr>
        <w:t> </w:t>
      </w:r>
      <w:r>
        <w:rPr>
          <w:sz w:val="22"/>
        </w:rPr>
        <w:t>la</w:t>
      </w:r>
      <w:r>
        <w:rPr>
          <w:spacing w:val="-8"/>
          <w:sz w:val="22"/>
        </w:rPr>
        <w:t> </w:t>
      </w:r>
      <w:r>
        <w:rPr>
          <w:sz w:val="22"/>
        </w:rPr>
        <w:t>finalidad</w:t>
      </w:r>
      <w:r>
        <w:rPr>
          <w:spacing w:val="-7"/>
          <w:sz w:val="22"/>
        </w:rPr>
        <w:t> </w:t>
      </w:r>
      <w:r>
        <w:rPr>
          <w:sz w:val="22"/>
        </w:rPr>
        <w:t>de</w:t>
      </w:r>
      <w:r>
        <w:rPr>
          <w:spacing w:val="-8"/>
          <w:sz w:val="22"/>
        </w:rPr>
        <w:t> </w:t>
      </w:r>
      <w:r>
        <w:rPr>
          <w:sz w:val="22"/>
        </w:rPr>
        <w:t>realizar</w:t>
      </w:r>
      <w:r>
        <w:rPr>
          <w:spacing w:val="-5"/>
          <w:sz w:val="22"/>
        </w:rPr>
        <w:t> </w:t>
      </w:r>
      <w:r>
        <w:rPr>
          <w:sz w:val="22"/>
        </w:rPr>
        <w:t>los</w:t>
      </w:r>
      <w:r>
        <w:rPr>
          <w:spacing w:val="-8"/>
          <w:sz w:val="22"/>
        </w:rPr>
        <w:t> </w:t>
      </w:r>
      <w:r>
        <w:rPr>
          <w:sz w:val="22"/>
        </w:rPr>
        <w:t>desembolsos</w:t>
      </w:r>
      <w:r>
        <w:rPr>
          <w:spacing w:val="-8"/>
          <w:sz w:val="22"/>
        </w:rPr>
        <w:t> </w:t>
      </w:r>
      <w:r>
        <w:rPr>
          <w:sz w:val="22"/>
        </w:rPr>
        <w:t>necesarios</w:t>
      </w:r>
      <w:r>
        <w:rPr>
          <w:spacing w:val="-7"/>
          <w:sz w:val="22"/>
        </w:rPr>
        <w:t> </w:t>
      </w:r>
      <w:r>
        <w:rPr>
          <w:sz w:val="22"/>
        </w:rPr>
        <w:t>por</w:t>
      </w:r>
      <w:r>
        <w:rPr>
          <w:spacing w:val="-6"/>
          <w:sz w:val="22"/>
        </w:rPr>
        <w:t> </w:t>
      </w:r>
      <w:r>
        <w:rPr>
          <w:sz w:val="22"/>
        </w:rPr>
        <w:t>el</w:t>
      </w:r>
      <w:r>
        <w:rPr>
          <w:spacing w:val="-7"/>
          <w:sz w:val="22"/>
        </w:rPr>
        <w:t> </w:t>
      </w:r>
      <w:r>
        <w:rPr>
          <w:sz w:val="22"/>
        </w:rPr>
        <w:t>importe</w:t>
      </w:r>
      <w:r>
        <w:rPr>
          <w:spacing w:val="-10"/>
          <w:sz w:val="22"/>
        </w:rPr>
        <w:t> </w:t>
      </w:r>
      <w:r>
        <w:rPr>
          <w:sz w:val="22"/>
        </w:rPr>
        <w:t>que</w:t>
      </w:r>
      <w:r>
        <w:rPr>
          <w:spacing w:val="-8"/>
          <w:sz w:val="22"/>
        </w:rPr>
        <w:t> </w:t>
      </w:r>
      <w:r>
        <w:rPr>
          <w:sz w:val="22"/>
        </w:rPr>
        <w:t>a</w:t>
      </w:r>
      <w:r>
        <w:rPr>
          <w:spacing w:val="-8"/>
          <w:sz w:val="22"/>
        </w:rPr>
        <w:t> </w:t>
      </w:r>
      <w:r>
        <w:rPr>
          <w:sz w:val="22"/>
        </w:rPr>
        <w:t>cada</w:t>
      </w:r>
      <w:r>
        <w:rPr>
          <w:spacing w:val="-8"/>
          <w:sz w:val="22"/>
        </w:rPr>
        <w:t> </w:t>
      </w:r>
      <w:r>
        <w:rPr>
          <w:sz w:val="22"/>
        </w:rPr>
        <w:t>uno corresponda anualmente hasta la finalización de la actuación del soterramiento, por importe estimado</w:t>
      </w:r>
      <w:r>
        <w:rPr>
          <w:spacing w:val="40"/>
          <w:sz w:val="22"/>
        </w:rPr>
        <w:t> </w:t>
      </w:r>
      <w:r>
        <w:rPr>
          <w:sz w:val="22"/>
        </w:rPr>
        <w:t>total</w:t>
      </w:r>
      <w:r>
        <w:rPr>
          <w:spacing w:val="40"/>
          <w:sz w:val="22"/>
        </w:rPr>
        <w:t> </w:t>
      </w:r>
      <w:r>
        <w:rPr>
          <w:sz w:val="22"/>
        </w:rPr>
        <w:t>de</w:t>
      </w:r>
      <w:r>
        <w:rPr>
          <w:spacing w:val="40"/>
          <w:sz w:val="22"/>
        </w:rPr>
        <w:t> </w:t>
      </w:r>
      <w:r>
        <w:rPr>
          <w:sz w:val="22"/>
        </w:rPr>
        <w:t>QUINIENTOS</w:t>
      </w:r>
      <w:r>
        <w:rPr>
          <w:spacing w:val="40"/>
          <w:sz w:val="22"/>
        </w:rPr>
        <w:t> </w:t>
      </w:r>
      <w:r>
        <w:rPr>
          <w:sz w:val="22"/>
        </w:rPr>
        <w:t>VEINTITRÉS</w:t>
      </w:r>
      <w:r>
        <w:rPr>
          <w:spacing w:val="40"/>
          <w:sz w:val="22"/>
        </w:rPr>
        <w:t> </w:t>
      </w:r>
      <w:r>
        <w:rPr>
          <w:sz w:val="22"/>
        </w:rPr>
        <w:t>MILLONES</w:t>
      </w:r>
      <w:r>
        <w:rPr>
          <w:spacing w:val="40"/>
          <w:sz w:val="22"/>
        </w:rPr>
        <w:t> </w:t>
      </w:r>
      <w:r>
        <w:rPr>
          <w:sz w:val="22"/>
        </w:rPr>
        <w:t>NOVECIENTOS</w:t>
      </w:r>
      <w:r>
        <w:rPr>
          <w:spacing w:val="40"/>
          <w:sz w:val="22"/>
        </w:rPr>
        <w:t> </w:t>
      </w:r>
      <w:r>
        <w:rPr>
          <w:sz w:val="22"/>
        </w:rPr>
        <w:t>MIL</w:t>
      </w:r>
      <w:r>
        <w:rPr>
          <w:spacing w:val="40"/>
          <w:sz w:val="22"/>
        </w:rPr>
        <w:t> </w:t>
      </w:r>
      <w:r>
        <w:rPr>
          <w:sz w:val="22"/>
        </w:rPr>
        <w:t>EUROS</w:t>
      </w:r>
    </w:p>
    <w:p>
      <w:pPr>
        <w:pStyle w:val="BodyText"/>
        <w:spacing w:line="247" w:lineRule="auto"/>
        <w:ind w:left="1278" w:right="835"/>
        <w:jc w:val="both"/>
      </w:pPr>
      <w:r>
        <w:rPr/>
        <w:t>(523,90</w:t>
      </w:r>
      <w:r>
        <w:rPr>
          <w:spacing w:val="-1"/>
        </w:rPr>
        <w:t> </w:t>
      </w:r>
      <w:r>
        <w:rPr/>
        <w:t>M€)</w:t>
      </w:r>
      <w:r>
        <w:rPr>
          <w:spacing w:val="-3"/>
        </w:rPr>
        <w:t> </w:t>
      </w:r>
      <w:r>
        <w:rPr/>
        <w:t>que</w:t>
      </w:r>
      <w:r>
        <w:rPr>
          <w:spacing w:val="-2"/>
        </w:rPr>
        <w:t> </w:t>
      </w:r>
      <w:r>
        <w:rPr/>
        <w:t>corresponden</w:t>
      </w:r>
      <w:r>
        <w:rPr>
          <w:spacing w:val="-1"/>
        </w:rPr>
        <w:t> </w:t>
      </w:r>
      <w:r>
        <w:rPr/>
        <w:t>al</w:t>
      </w:r>
      <w:r>
        <w:rPr>
          <w:spacing w:val="-1"/>
        </w:rPr>
        <w:t> </w:t>
      </w:r>
      <w:r>
        <w:rPr/>
        <w:t>resto</w:t>
      </w:r>
      <w:r>
        <w:rPr>
          <w:spacing w:val="-1"/>
        </w:rPr>
        <w:t> </w:t>
      </w:r>
      <w:r>
        <w:rPr/>
        <w:t>de</w:t>
      </w:r>
      <w:r>
        <w:rPr>
          <w:spacing w:val="-2"/>
        </w:rPr>
        <w:t> </w:t>
      </w:r>
      <w:r>
        <w:rPr/>
        <w:t>fases</w:t>
      </w:r>
      <w:r>
        <w:rPr>
          <w:spacing w:val="-3"/>
        </w:rPr>
        <w:t> </w:t>
      </w:r>
      <w:r>
        <w:rPr/>
        <w:t>de</w:t>
      </w:r>
      <w:r>
        <w:rPr>
          <w:spacing w:val="-2"/>
        </w:rPr>
        <w:t> </w:t>
      </w:r>
      <w:r>
        <w:rPr/>
        <w:t>integración</w:t>
      </w:r>
      <w:r>
        <w:rPr>
          <w:spacing w:val="-1"/>
        </w:rPr>
        <w:t> </w:t>
      </w:r>
      <w:r>
        <w:rPr/>
        <w:t>(485,80</w:t>
      </w:r>
      <w:r>
        <w:rPr>
          <w:spacing w:val="-1"/>
        </w:rPr>
        <w:t> </w:t>
      </w:r>
      <w:r>
        <w:rPr/>
        <w:t>M€)</w:t>
      </w:r>
      <w:r>
        <w:rPr>
          <w:spacing w:val="-1"/>
        </w:rPr>
        <w:t> </w:t>
      </w:r>
      <w:r>
        <w:rPr/>
        <w:t>y</w:t>
      </w:r>
      <w:r>
        <w:rPr>
          <w:spacing w:val="-1"/>
        </w:rPr>
        <w:t> </w:t>
      </w:r>
      <w:r>
        <w:rPr/>
        <w:t>a</w:t>
      </w:r>
      <w:r>
        <w:rPr>
          <w:spacing w:val="-4"/>
        </w:rPr>
        <w:t> </w:t>
      </w:r>
      <w:r>
        <w:rPr/>
        <w:t>la</w:t>
      </w:r>
      <w:r>
        <w:rPr>
          <w:spacing w:val="-4"/>
        </w:rPr>
        <w:t> </w:t>
      </w:r>
      <w:r>
        <w:rPr/>
        <w:t>urbanización de todo</w:t>
      </w:r>
      <w:r>
        <w:rPr>
          <w:spacing w:val="-5"/>
        </w:rPr>
        <w:t> </w:t>
      </w:r>
      <w:r>
        <w:rPr/>
        <w:t>el</w:t>
      </w:r>
      <w:r>
        <w:rPr>
          <w:spacing w:val="-6"/>
        </w:rPr>
        <w:t> </w:t>
      </w:r>
      <w:r>
        <w:rPr/>
        <w:t>ámbito</w:t>
      </w:r>
      <w:r>
        <w:rPr>
          <w:spacing w:val="-6"/>
        </w:rPr>
        <w:t> </w:t>
      </w:r>
      <w:r>
        <w:rPr/>
        <w:t>(38,10</w:t>
      </w:r>
      <w:r>
        <w:rPr>
          <w:spacing w:val="-6"/>
        </w:rPr>
        <w:t> </w:t>
      </w:r>
      <w:r>
        <w:rPr/>
        <w:t>M€),</w:t>
      </w:r>
      <w:r>
        <w:rPr>
          <w:spacing w:val="-7"/>
        </w:rPr>
        <w:t> </w:t>
      </w:r>
      <w:r>
        <w:rPr/>
        <w:t>a</w:t>
      </w:r>
      <w:r>
        <w:rPr>
          <w:spacing w:val="-7"/>
        </w:rPr>
        <w:t> </w:t>
      </w:r>
      <w:r>
        <w:rPr/>
        <w:t>fin</w:t>
      </w:r>
      <w:r>
        <w:rPr>
          <w:spacing w:val="-6"/>
        </w:rPr>
        <w:t> </w:t>
      </w:r>
      <w:r>
        <w:rPr/>
        <w:t>de</w:t>
      </w:r>
      <w:r>
        <w:rPr>
          <w:spacing w:val="-7"/>
        </w:rPr>
        <w:t> </w:t>
      </w:r>
      <w:r>
        <w:rPr/>
        <w:t>atender</w:t>
      </w:r>
      <w:r>
        <w:rPr>
          <w:spacing w:val="-5"/>
        </w:rPr>
        <w:t> </w:t>
      </w:r>
      <w:r>
        <w:rPr/>
        <w:t>a</w:t>
      </w:r>
      <w:r>
        <w:rPr>
          <w:spacing w:val="-7"/>
        </w:rPr>
        <w:t> </w:t>
      </w:r>
      <w:r>
        <w:rPr/>
        <w:t>la</w:t>
      </w:r>
      <w:r>
        <w:rPr>
          <w:spacing w:val="-7"/>
        </w:rPr>
        <w:t> </w:t>
      </w:r>
      <w:r>
        <w:rPr/>
        <w:t>financiación</w:t>
      </w:r>
      <w:r>
        <w:rPr>
          <w:spacing w:val="-6"/>
        </w:rPr>
        <w:t> </w:t>
      </w:r>
      <w:r>
        <w:rPr/>
        <w:t>de</w:t>
      </w:r>
      <w:r>
        <w:rPr>
          <w:spacing w:val="-7"/>
        </w:rPr>
        <w:t> </w:t>
      </w:r>
      <w:r>
        <w:rPr/>
        <w:t>la</w:t>
      </w:r>
      <w:r>
        <w:rPr>
          <w:spacing w:val="-7"/>
        </w:rPr>
        <w:t> </w:t>
      </w:r>
      <w:r>
        <w:rPr/>
        <w:t>inversión</w:t>
      </w:r>
      <w:r>
        <w:rPr>
          <w:spacing w:val="-5"/>
        </w:rPr>
        <w:t> </w:t>
      </w:r>
      <w:r>
        <w:rPr/>
        <w:t>necesaria</w:t>
      </w:r>
      <w:r>
        <w:rPr>
          <w:spacing w:val="-7"/>
        </w:rPr>
        <w:t> </w:t>
      </w:r>
      <w:r>
        <w:rPr/>
        <w:t>para</w:t>
      </w:r>
      <w:r>
        <w:rPr>
          <w:spacing w:val="-6"/>
        </w:rPr>
        <w:t> </w:t>
      </w:r>
      <w:r>
        <w:rPr/>
        <w:t>ejecutar el</w:t>
      </w:r>
      <w:r>
        <w:rPr>
          <w:spacing w:val="-9"/>
        </w:rPr>
        <w:t> </w:t>
      </w:r>
      <w:r>
        <w:rPr/>
        <w:t>soterramiento</w:t>
      </w:r>
      <w:r>
        <w:rPr>
          <w:spacing w:val="-8"/>
        </w:rPr>
        <w:t> </w:t>
      </w:r>
      <w:r>
        <w:rPr/>
        <w:t>de</w:t>
      </w:r>
      <w:r>
        <w:rPr>
          <w:spacing w:val="-10"/>
        </w:rPr>
        <w:t> </w:t>
      </w:r>
      <w:r>
        <w:rPr/>
        <w:t>la</w:t>
      </w:r>
      <w:r>
        <w:rPr>
          <w:spacing w:val="-10"/>
        </w:rPr>
        <w:t> </w:t>
      </w:r>
      <w:r>
        <w:rPr/>
        <w:t>estación</w:t>
      </w:r>
      <w:r>
        <w:rPr>
          <w:spacing w:val="-8"/>
        </w:rPr>
        <w:t> </w:t>
      </w:r>
      <w:r>
        <w:rPr/>
        <w:t>y</w:t>
      </w:r>
      <w:r>
        <w:rPr>
          <w:spacing w:val="-9"/>
        </w:rPr>
        <w:t> </w:t>
      </w:r>
      <w:r>
        <w:rPr/>
        <w:t>Barriomar,</w:t>
      </w:r>
      <w:r>
        <w:rPr>
          <w:spacing w:val="-9"/>
        </w:rPr>
        <w:t> </w:t>
      </w:r>
      <w:r>
        <w:rPr/>
        <w:t>Nonduermas</w:t>
      </w:r>
      <w:r>
        <w:rPr>
          <w:spacing w:val="-9"/>
        </w:rPr>
        <w:t> </w:t>
      </w:r>
      <w:r>
        <w:rPr/>
        <w:t>y</w:t>
      </w:r>
      <w:r>
        <w:rPr>
          <w:spacing w:val="-9"/>
        </w:rPr>
        <w:t> </w:t>
      </w:r>
      <w:r>
        <w:rPr/>
        <w:t>la</w:t>
      </w:r>
      <w:r>
        <w:rPr>
          <w:spacing w:val="-10"/>
        </w:rPr>
        <w:t> </w:t>
      </w:r>
      <w:r>
        <w:rPr/>
        <w:t>urbanización,</w:t>
      </w:r>
      <w:r>
        <w:rPr>
          <w:spacing w:val="-7"/>
        </w:rPr>
        <w:t> </w:t>
      </w:r>
      <w:r>
        <w:rPr/>
        <w:t>y</w:t>
      </w:r>
      <w:r>
        <w:rPr>
          <w:spacing w:val="-12"/>
        </w:rPr>
        <w:t> </w:t>
      </w:r>
      <w:r>
        <w:rPr/>
        <w:t>cuyo</w:t>
      </w:r>
      <w:r>
        <w:rPr>
          <w:spacing w:val="-12"/>
        </w:rPr>
        <w:t> </w:t>
      </w:r>
      <w:r>
        <w:rPr/>
        <w:t>desembolso</w:t>
      </w:r>
      <w:r>
        <w:rPr>
          <w:spacing w:val="-9"/>
        </w:rPr>
        <w:t> </w:t>
      </w:r>
      <w:r>
        <w:rPr/>
        <w:t>por los accionistas se realizará en función de los porcentajes fijados en el Protocolo de Colaboración, correspondiendo</w:t>
      </w:r>
      <w:r>
        <w:rPr>
          <w:spacing w:val="-11"/>
        </w:rPr>
        <w:t> </w:t>
      </w:r>
      <w:r>
        <w:rPr/>
        <w:t>al</w:t>
      </w:r>
      <w:r>
        <w:rPr>
          <w:spacing w:val="-12"/>
        </w:rPr>
        <w:t> </w:t>
      </w:r>
      <w:r>
        <w:rPr/>
        <w:t>Ayuntamiento</w:t>
      </w:r>
      <w:r>
        <w:rPr>
          <w:spacing w:val="-12"/>
        </w:rPr>
        <w:t> </w:t>
      </w:r>
      <w:r>
        <w:rPr/>
        <w:t>de</w:t>
      </w:r>
      <w:r>
        <w:rPr>
          <w:spacing w:val="-12"/>
        </w:rPr>
        <w:t> </w:t>
      </w:r>
      <w:r>
        <w:rPr/>
        <w:t>Murcia</w:t>
      </w:r>
      <w:r>
        <w:rPr>
          <w:spacing w:val="-12"/>
        </w:rPr>
        <w:t> </w:t>
      </w:r>
      <w:r>
        <w:rPr/>
        <w:t>el</w:t>
      </w:r>
      <w:r>
        <w:rPr>
          <w:spacing w:val="-12"/>
        </w:rPr>
        <w:t> </w:t>
      </w:r>
      <w:r>
        <w:rPr/>
        <w:t>8%,</w:t>
      </w:r>
      <w:r>
        <w:rPr>
          <w:spacing w:val="-11"/>
        </w:rPr>
        <w:t> </w:t>
      </w:r>
      <w:r>
        <w:rPr/>
        <w:t>a</w:t>
      </w:r>
      <w:r>
        <w:rPr>
          <w:spacing w:val="-11"/>
        </w:rPr>
        <w:t> </w:t>
      </w:r>
      <w:r>
        <w:rPr/>
        <w:t>la</w:t>
      </w:r>
      <w:r>
        <w:rPr>
          <w:spacing w:val="-12"/>
        </w:rPr>
        <w:t> </w:t>
      </w:r>
      <w:r>
        <w:rPr/>
        <w:t>Comunidad</w:t>
      </w:r>
      <w:r>
        <w:rPr>
          <w:spacing w:val="-11"/>
        </w:rPr>
        <w:t> </w:t>
      </w:r>
      <w:r>
        <w:rPr/>
        <w:t>Autónoma</w:t>
      </w:r>
      <w:r>
        <w:rPr>
          <w:spacing w:val="-11"/>
        </w:rPr>
        <w:t> </w:t>
      </w:r>
      <w:r>
        <w:rPr/>
        <w:t>de</w:t>
      </w:r>
      <w:r>
        <w:rPr>
          <w:spacing w:val="-12"/>
        </w:rPr>
        <w:t> </w:t>
      </w:r>
      <w:r>
        <w:rPr/>
        <w:t>Murcia</w:t>
      </w:r>
      <w:r>
        <w:rPr>
          <w:spacing w:val="-12"/>
        </w:rPr>
        <w:t> </w:t>
      </w:r>
      <w:r>
        <w:rPr/>
        <w:t>el</w:t>
      </w:r>
      <w:r>
        <w:rPr>
          <w:spacing w:val="-10"/>
        </w:rPr>
        <w:t> </w:t>
      </w:r>
      <w:r>
        <w:rPr/>
        <w:t>26%</w:t>
      </w:r>
      <w:r>
        <w:rPr>
          <w:spacing w:val="-12"/>
        </w:rPr>
        <w:t> </w:t>
      </w:r>
      <w:r>
        <w:rPr/>
        <w:t>y a ADIF y a ADIF-Alta Velocidad el 66%.</w:t>
      </w:r>
    </w:p>
    <w:p>
      <w:pPr>
        <w:pStyle w:val="BodyText"/>
        <w:spacing w:before="174"/>
      </w:pPr>
    </w:p>
    <w:p>
      <w:pPr>
        <w:pStyle w:val="BodyText"/>
        <w:spacing w:line="247" w:lineRule="auto"/>
        <w:ind w:left="995" w:right="837"/>
        <w:jc w:val="both"/>
      </w:pPr>
      <w:r>
        <w:rPr/>
        <w:t>Con</w:t>
      </w:r>
      <w:r>
        <w:rPr>
          <w:spacing w:val="-5"/>
        </w:rPr>
        <w:t> </w:t>
      </w:r>
      <w:r>
        <w:rPr/>
        <w:t>fecha</w:t>
      </w:r>
      <w:r>
        <w:rPr>
          <w:spacing w:val="-6"/>
        </w:rPr>
        <w:t> </w:t>
      </w:r>
      <w:r>
        <w:rPr/>
        <w:t>28</w:t>
      </w:r>
      <w:r>
        <w:rPr>
          <w:spacing w:val="-5"/>
        </w:rPr>
        <w:t> </w:t>
      </w:r>
      <w:r>
        <w:rPr/>
        <w:t>de</w:t>
      </w:r>
      <w:r>
        <w:rPr>
          <w:spacing w:val="-6"/>
        </w:rPr>
        <w:t> </w:t>
      </w:r>
      <w:r>
        <w:rPr/>
        <w:t>mayo</w:t>
      </w:r>
      <w:r>
        <w:rPr>
          <w:spacing w:val="-5"/>
        </w:rPr>
        <w:t> </w:t>
      </w:r>
      <w:r>
        <w:rPr/>
        <w:t>de</w:t>
      </w:r>
      <w:r>
        <w:rPr>
          <w:spacing w:val="-5"/>
        </w:rPr>
        <w:t> </w:t>
      </w:r>
      <w:r>
        <w:rPr/>
        <w:t>2018,</w:t>
      </w:r>
      <w:r>
        <w:rPr>
          <w:spacing w:val="-6"/>
        </w:rPr>
        <w:t> </w:t>
      </w:r>
      <w:r>
        <w:rPr/>
        <w:t>el</w:t>
      </w:r>
      <w:r>
        <w:rPr>
          <w:spacing w:val="-5"/>
        </w:rPr>
        <w:t> </w:t>
      </w:r>
      <w:r>
        <w:rPr/>
        <w:t>Consejo</w:t>
      </w:r>
      <w:r>
        <w:rPr>
          <w:spacing w:val="-5"/>
        </w:rPr>
        <w:t> </w:t>
      </w:r>
      <w:r>
        <w:rPr/>
        <w:t>de</w:t>
      </w:r>
      <w:r>
        <w:rPr>
          <w:spacing w:val="-5"/>
        </w:rPr>
        <w:t> </w:t>
      </w:r>
      <w:r>
        <w:rPr/>
        <w:t>Administración</w:t>
      </w:r>
      <w:r>
        <w:rPr>
          <w:spacing w:val="-5"/>
        </w:rPr>
        <w:t> </w:t>
      </w:r>
      <w:r>
        <w:rPr/>
        <w:t>aprueba</w:t>
      </w:r>
      <w:r>
        <w:rPr>
          <w:spacing w:val="-6"/>
        </w:rPr>
        <w:t> </w:t>
      </w:r>
      <w:r>
        <w:rPr/>
        <w:t>una</w:t>
      </w:r>
      <w:r>
        <w:rPr>
          <w:spacing w:val="-6"/>
        </w:rPr>
        <w:t> </w:t>
      </w:r>
      <w:r>
        <w:rPr/>
        <w:t>Adenda</w:t>
      </w:r>
      <w:r>
        <w:rPr>
          <w:spacing w:val="-5"/>
        </w:rPr>
        <w:t> </w:t>
      </w:r>
      <w:r>
        <w:rPr/>
        <w:t>al</w:t>
      </w:r>
      <w:r>
        <w:rPr>
          <w:spacing w:val="-5"/>
        </w:rPr>
        <w:t> </w:t>
      </w:r>
      <w:r>
        <w:rPr/>
        <w:t>Acuerdo</w:t>
      </w:r>
      <w:r>
        <w:rPr>
          <w:spacing w:val="-5"/>
        </w:rPr>
        <w:t> </w:t>
      </w:r>
      <w:r>
        <w:rPr/>
        <w:t>Marco de</w:t>
      </w:r>
      <w:r>
        <w:rPr>
          <w:spacing w:val="-5"/>
        </w:rPr>
        <w:t> </w:t>
      </w:r>
      <w:r>
        <w:rPr/>
        <w:t>fecha</w:t>
      </w:r>
      <w:r>
        <w:rPr>
          <w:spacing w:val="-5"/>
        </w:rPr>
        <w:t> </w:t>
      </w:r>
      <w:r>
        <w:rPr/>
        <w:t>28</w:t>
      </w:r>
      <w:r>
        <w:rPr>
          <w:spacing w:val="-4"/>
        </w:rPr>
        <w:t> </w:t>
      </w:r>
      <w:r>
        <w:rPr/>
        <w:t>de</w:t>
      </w:r>
      <w:r>
        <w:rPr>
          <w:spacing w:val="-5"/>
        </w:rPr>
        <w:t> </w:t>
      </w:r>
      <w:r>
        <w:rPr/>
        <w:t>septiembre</w:t>
      </w:r>
      <w:r>
        <w:rPr>
          <w:spacing w:val="-4"/>
        </w:rPr>
        <w:t> </w:t>
      </w:r>
      <w:r>
        <w:rPr/>
        <w:t>de</w:t>
      </w:r>
      <w:r>
        <w:rPr>
          <w:spacing w:val="-5"/>
        </w:rPr>
        <w:t> </w:t>
      </w:r>
      <w:r>
        <w:rPr/>
        <w:t>2009,</w:t>
      </w:r>
      <w:r>
        <w:rPr>
          <w:spacing w:val="-3"/>
        </w:rPr>
        <w:t> </w:t>
      </w:r>
      <w:r>
        <w:rPr/>
        <w:t>entre</w:t>
      </w:r>
      <w:r>
        <w:rPr>
          <w:spacing w:val="-4"/>
        </w:rPr>
        <w:t> </w:t>
      </w:r>
      <w:r>
        <w:rPr/>
        <w:t>la</w:t>
      </w:r>
      <w:r>
        <w:rPr>
          <w:spacing w:val="-5"/>
        </w:rPr>
        <w:t> </w:t>
      </w:r>
      <w:r>
        <w:rPr/>
        <w:t>Sociedad</w:t>
      </w:r>
      <w:r>
        <w:rPr>
          <w:spacing w:val="-3"/>
        </w:rPr>
        <w:t> </w:t>
      </w:r>
      <w:r>
        <w:rPr/>
        <w:t>y</w:t>
      </w:r>
      <w:r>
        <w:rPr>
          <w:spacing w:val="-4"/>
        </w:rPr>
        <w:t> </w:t>
      </w:r>
      <w:r>
        <w:rPr/>
        <w:t>ADIF</w:t>
      </w:r>
      <w:r>
        <w:rPr>
          <w:spacing w:val="-5"/>
        </w:rPr>
        <w:t> </w:t>
      </w:r>
      <w:r>
        <w:rPr/>
        <w:t>–</w:t>
      </w:r>
      <w:r>
        <w:rPr>
          <w:spacing w:val="-2"/>
        </w:rPr>
        <w:t> </w:t>
      </w:r>
      <w:r>
        <w:rPr/>
        <w:t>Alta</w:t>
      </w:r>
      <w:r>
        <w:rPr>
          <w:spacing w:val="-5"/>
        </w:rPr>
        <w:t> </w:t>
      </w:r>
      <w:r>
        <w:rPr/>
        <w:t>Velocidad</w:t>
      </w:r>
      <w:r>
        <w:rPr>
          <w:spacing w:val="-4"/>
        </w:rPr>
        <w:t> </w:t>
      </w:r>
      <w:r>
        <w:rPr/>
        <w:t>por</w:t>
      </w:r>
      <w:r>
        <w:rPr>
          <w:spacing w:val="-6"/>
        </w:rPr>
        <w:t> </w:t>
      </w:r>
      <w:r>
        <w:rPr/>
        <w:t>la</w:t>
      </w:r>
      <w:r>
        <w:rPr>
          <w:spacing w:val="-5"/>
        </w:rPr>
        <w:t> </w:t>
      </w:r>
      <w:r>
        <w:rPr/>
        <w:t>que</w:t>
      </w:r>
      <w:r>
        <w:rPr>
          <w:spacing w:val="-5"/>
        </w:rPr>
        <w:t> </w:t>
      </w:r>
      <w:r>
        <w:rPr/>
        <w:t>la</w:t>
      </w:r>
      <w:r>
        <w:rPr>
          <w:spacing w:val="-5"/>
        </w:rPr>
        <w:t> </w:t>
      </w:r>
      <w:r>
        <w:rPr/>
        <w:t>Sociedad encargaría</w:t>
      </w:r>
      <w:r>
        <w:rPr>
          <w:spacing w:val="-4"/>
        </w:rPr>
        <w:t> </w:t>
      </w:r>
      <w:r>
        <w:rPr/>
        <w:t>a</w:t>
      </w:r>
      <w:r>
        <w:rPr>
          <w:spacing w:val="-5"/>
        </w:rPr>
        <w:t> </w:t>
      </w:r>
      <w:r>
        <w:rPr/>
        <w:t>esta</w:t>
      </w:r>
      <w:r>
        <w:rPr>
          <w:spacing w:val="-5"/>
        </w:rPr>
        <w:t> </w:t>
      </w:r>
      <w:r>
        <w:rPr/>
        <w:t>EPE</w:t>
      </w:r>
      <w:r>
        <w:rPr>
          <w:spacing w:val="-4"/>
        </w:rPr>
        <w:t> </w:t>
      </w:r>
      <w:r>
        <w:rPr/>
        <w:t>la</w:t>
      </w:r>
      <w:r>
        <w:rPr>
          <w:spacing w:val="-5"/>
        </w:rPr>
        <w:t> </w:t>
      </w:r>
      <w:r>
        <w:rPr/>
        <w:t>licitación,</w:t>
      </w:r>
      <w:r>
        <w:rPr>
          <w:spacing w:val="-5"/>
        </w:rPr>
        <w:t> </w:t>
      </w:r>
      <w:r>
        <w:rPr/>
        <w:t>adjudicación,</w:t>
      </w:r>
      <w:r>
        <w:rPr>
          <w:spacing w:val="-4"/>
        </w:rPr>
        <w:t> </w:t>
      </w:r>
      <w:r>
        <w:rPr/>
        <w:t>dirección,</w:t>
      </w:r>
      <w:r>
        <w:rPr>
          <w:spacing w:val="-4"/>
        </w:rPr>
        <w:t> </w:t>
      </w:r>
      <w:r>
        <w:rPr/>
        <w:t>ejecución</w:t>
      </w:r>
      <w:r>
        <w:rPr>
          <w:spacing w:val="-4"/>
        </w:rPr>
        <w:t> </w:t>
      </w:r>
      <w:r>
        <w:rPr/>
        <w:t>de</w:t>
      </w:r>
      <w:r>
        <w:rPr>
          <w:spacing w:val="-4"/>
        </w:rPr>
        <w:t> </w:t>
      </w:r>
      <w:r>
        <w:rPr/>
        <w:t>la</w:t>
      </w:r>
      <w:r>
        <w:rPr>
          <w:spacing w:val="-5"/>
        </w:rPr>
        <w:t> </w:t>
      </w:r>
      <w:r>
        <w:rPr/>
        <w:t>obra</w:t>
      </w:r>
      <w:r>
        <w:rPr>
          <w:spacing w:val="-6"/>
        </w:rPr>
        <w:t> </w:t>
      </w:r>
      <w:r>
        <w:rPr/>
        <w:t>y</w:t>
      </w:r>
      <w:r>
        <w:rPr>
          <w:spacing w:val="-5"/>
        </w:rPr>
        <w:t> </w:t>
      </w:r>
      <w:r>
        <w:rPr/>
        <w:t>asistencias</w:t>
      </w:r>
      <w:r>
        <w:rPr>
          <w:spacing w:val="-5"/>
        </w:rPr>
        <w:t> </w:t>
      </w:r>
      <w:r>
        <w:rPr/>
        <w:t>técnicas del</w:t>
      </w:r>
      <w:r>
        <w:rPr>
          <w:spacing w:val="8"/>
        </w:rPr>
        <w:t> </w:t>
      </w:r>
      <w:r>
        <w:rPr/>
        <w:t>proyecto</w:t>
      </w:r>
      <w:r>
        <w:rPr>
          <w:spacing w:val="8"/>
        </w:rPr>
        <w:t> </w:t>
      </w:r>
      <w:r>
        <w:rPr/>
        <w:t>de</w:t>
      </w:r>
      <w:r>
        <w:rPr>
          <w:spacing w:val="8"/>
        </w:rPr>
        <w:t> </w:t>
      </w:r>
      <w:r>
        <w:rPr/>
        <w:t>construcción</w:t>
      </w:r>
      <w:r>
        <w:rPr>
          <w:spacing w:val="10"/>
        </w:rPr>
        <w:t> </w:t>
      </w:r>
      <w:r>
        <w:rPr/>
        <w:t>del</w:t>
      </w:r>
      <w:r>
        <w:rPr>
          <w:spacing w:val="8"/>
        </w:rPr>
        <w:t> </w:t>
      </w:r>
      <w:r>
        <w:rPr/>
        <w:t>soterramiento</w:t>
      </w:r>
      <w:r>
        <w:rPr>
          <w:spacing w:val="9"/>
        </w:rPr>
        <w:t> </w:t>
      </w:r>
      <w:r>
        <w:rPr/>
        <w:t>de</w:t>
      </w:r>
      <w:r>
        <w:rPr>
          <w:spacing w:val="8"/>
        </w:rPr>
        <w:t> </w:t>
      </w:r>
      <w:r>
        <w:rPr/>
        <w:t>la</w:t>
      </w:r>
      <w:r>
        <w:rPr>
          <w:spacing w:val="9"/>
        </w:rPr>
        <w:t> </w:t>
      </w:r>
      <w:r>
        <w:rPr/>
        <w:t>RAF</w:t>
      </w:r>
      <w:r>
        <w:rPr>
          <w:spacing w:val="9"/>
        </w:rPr>
        <w:t> </w:t>
      </w:r>
      <w:r>
        <w:rPr/>
        <w:t>de</w:t>
      </w:r>
      <w:r>
        <w:rPr>
          <w:spacing w:val="8"/>
        </w:rPr>
        <w:t> </w:t>
      </w:r>
      <w:r>
        <w:rPr/>
        <w:t>Murcia:</w:t>
      </w:r>
      <w:r>
        <w:rPr>
          <w:spacing w:val="8"/>
        </w:rPr>
        <w:t> </w:t>
      </w:r>
      <w:r>
        <w:rPr/>
        <w:t>“Soterramiento</w:t>
      </w:r>
      <w:r>
        <w:rPr>
          <w:spacing w:val="8"/>
        </w:rPr>
        <w:t> </w:t>
      </w:r>
      <w:r>
        <w:rPr/>
        <w:t>de</w:t>
      </w:r>
      <w:r>
        <w:rPr>
          <w:spacing w:val="9"/>
        </w:rPr>
        <w:t> </w:t>
      </w:r>
      <w:r>
        <w:rPr/>
        <w:t>Estación</w:t>
      </w:r>
      <w:r>
        <w:rPr>
          <w:spacing w:val="9"/>
        </w:rPr>
        <w:t> </w:t>
      </w:r>
      <w:r>
        <w:rPr>
          <w:spacing w:val="-10"/>
        </w:rPr>
        <w:t>y</w:t>
      </w:r>
    </w:p>
    <w:p>
      <w:pPr>
        <w:pStyle w:val="BodyText"/>
        <w:spacing w:after="0" w:line="247" w:lineRule="auto"/>
        <w:jc w:val="both"/>
        <w:sectPr>
          <w:pgSz w:w="11910" w:h="16840"/>
          <w:pgMar w:header="694" w:footer="690" w:top="1920" w:bottom="880" w:left="708" w:right="425"/>
        </w:sectPr>
      </w:pPr>
    </w:p>
    <w:p>
      <w:pPr>
        <w:pStyle w:val="BodyText"/>
        <w:spacing w:line="247" w:lineRule="auto" w:before="187"/>
        <w:ind w:left="995" w:right="837"/>
        <w:jc w:val="both"/>
      </w:pPr>
      <w:r>
        <w:rPr/>
        <w:t>Barriomar” y del proyecto de construcción del soterramiento de la RAF de Murcia: “Integración en Nonduermas”.</w:t>
      </w:r>
      <w:r>
        <w:rPr>
          <w:spacing w:val="-5"/>
        </w:rPr>
        <w:t> </w:t>
      </w:r>
      <w:r>
        <w:rPr/>
        <w:t>Con</w:t>
      </w:r>
      <w:r>
        <w:rPr>
          <w:spacing w:val="-5"/>
        </w:rPr>
        <w:t> </w:t>
      </w:r>
      <w:r>
        <w:rPr/>
        <w:t>fecha</w:t>
      </w:r>
      <w:r>
        <w:rPr>
          <w:spacing w:val="-6"/>
        </w:rPr>
        <w:t> </w:t>
      </w:r>
      <w:r>
        <w:rPr/>
        <w:t>26</w:t>
      </w:r>
      <w:r>
        <w:rPr>
          <w:spacing w:val="-5"/>
        </w:rPr>
        <w:t> </w:t>
      </w:r>
      <w:r>
        <w:rPr/>
        <w:t>de</w:t>
      </w:r>
      <w:r>
        <w:rPr>
          <w:spacing w:val="-6"/>
        </w:rPr>
        <w:t> </w:t>
      </w:r>
      <w:r>
        <w:rPr/>
        <w:t>julio</w:t>
      </w:r>
      <w:r>
        <w:rPr>
          <w:spacing w:val="-5"/>
        </w:rPr>
        <w:t> </w:t>
      </w:r>
      <w:r>
        <w:rPr/>
        <w:t>de</w:t>
      </w:r>
      <w:r>
        <w:rPr>
          <w:spacing w:val="-6"/>
        </w:rPr>
        <w:t> </w:t>
      </w:r>
      <w:r>
        <w:rPr/>
        <w:t>2018</w:t>
      </w:r>
      <w:r>
        <w:rPr>
          <w:spacing w:val="-8"/>
        </w:rPr>
        <w:t> </w:t>
      </w:r>
      <w:r>
        <w:rPr/>
        <w:t>se</w:t>
      </w:r>
      <w:r>
        <w:rPr>
          <w:spacing w:val="-6"/>
        </w:rPr>
        <w:t> </w:t>
      </w:r>
      <w:r>
        <w:rPr/>
        <w:t>firmó</w:t>
      </w:r>
      <w:r>
        <w:rPr>
          <w:spacing w:val="-5"/>
        </w:rPr>
        <w:t> </w:t>
      </w:r>
      <w:r>
        <w:rPr/>
        <w:t>la</w:t>
      </w:r>
      <w:r>
        <w:rPr>
          <w:spacing w:val="-6"/>
        </w:rPr>
        <w:t> </w:t>
      </w:r>
      <w:r>
        <w:rPr/>
        <w:t>Adenda</w:t>
      </w:r>
      <w:r>
        <w:rPr>
          <w:spacing w:val="-5"/>
        </w:rPr>
        <w:t> </w:t>
      </w:r>
      <w:r>
        <w:rPr/>
        <w:t>por</w:t>
      </w:r>
      <w:r>
        <w:rPr>
          <w:spacing w:val="-5"/>
        </w:rPr>
        <w:t> </w:t>
      </w:r>
      <w:r>
        <w:rPr/>
        <w:t>un</w:t>
      </w:r>
      <w:r>
        <w:rPr>
          <w:spacing w:val="-5"/>
        </w:rPr>
        <w:t> </w:t>
      </w:r>
      <w:r>
        <w:rPr/>
        <w:t>importe</w:t>
      </w:r>
      <w:r>
        <w:rPr>
          <w:spacing w:val="-5"/>
        </w:rPr>
        <w:t> </w:t>
      </w:r>
      <w:r>
        <w:rPr/>
        <w:t>de</w:t>
      </w:r>
      <w:r>
        <w:rPr>
          <w:spacing w:val="-5"/>
        </w:rPr>
        <w:t> </w:t>
      </w:r>
      <w:r>
        <w:rPr/>
        <w:t>(338,15</w:t>
      </w:r>
      <w:r>
        <w:rPr>
          <w:spacing w:val="-5"/>
        </w:rPr>
        <w:t> </w:t>
      </w:r>
      <w:r>
        <w:rPr/>
        <w:t>M€).</w:t>
      </w:r>
      <w:r>
        <w:rPr>
          <w:spacing w:val="-5"/>
        </w:rPr>
        <w:t> </w:t>
      </w:r>
      <w:r>
        <w:rPr/>
        <w:t>Esta Adenda</w:t>
      </w:r>
      <w:r>
        <w:rPr>
          <w:spacing w:val="-14"/>
        </w:rPr>
        <w:t> </w:t>
      </w:r>
      <w:r>
        <w:rPr/>
        <w:t>contempla</w:t>
      </w:r>
      <w:r>
        <w:rPr>
          <w:spacing w:val="-14"/>
        </w:rPr>
        <w:t> </w:t>
      </w:r>
      <w:r>
        <w:rPr/>
        <w:t>que</w:t>
      </w:r>
      <w:r>
        <w:rPr>
          <w:spacing w:val="-14"/>
        </w:rPr>
        <w:t> </w:t>
      </w:r>
      <w:r>
        <w:rPr/>
        <w:t>la</w:t>
      </w:r>
      <w:r>
        <w:rPr>
          <w:spacing w:val="-13"/>
        </w:rPr>
        <w:t> </w:t>
      </w:r>
      <w:r>
        <w:rPr/>
        <w:t>adjudicación</w:t>
      </w:r>
      <w:r>
        <w:rPr>
          <w:spacing w:val="-14"/>
        </w:rPr>
        <w:t> </w:t>
      </w:r>
      <w:r>
        <w:rPr/>
        <w:t>y</w:t>
      </w:r>
      <w:r>
        <w:rPr>
          <w:spacing w:val="-14"/>
        </w:rPr>
        <w:t> </w:t>
      </w:r>
      <w:r>
        <w:rPr/>
        <w:t>ejecución</w:t>
      </w:r>
      <w:r>
        <w:rPr>
          <w:spacing w:val="-14"/>
        </w:rPr>
        <w:t> </w:t>
      </w:r>
      <w:r>
        <w:rPr/>
        <w:t>de</w:t>
      </w:r>
      <w:r>
        <w:rPr>
          <w:spacing w:val="-13"/>
        </w:rPr>
        <w:t> </w:t>
      </w:r>
      <w:r>
        <w:rPr/>
        <w:t>los</w:t>
      </w:r>
      <w:r>
        <w:rPr>
          <w:spacing w:val="-14"/>
        </w:rPr>
        <w:t> </w:t>
      </w:r>
      <w:r>
        <w:rPr/>
        <w:t>trabajos</w:t>
      </w:r>
      <w:r>
        <w:rPr>
          <w:spacing w:val="-14"/>
        </w:rPr>
        <w:t> </w:t>
      </w:r>
      <w:r>
        <w:rPr/>
        <w:t>estará</w:t>
      </w:r>
      <w:r>
        <w:rPr>
          <w:spacing w:val="-14"/>
        </w:rPr>
        <w:t> </w:t>
      </w:r>
      <w:r>
        <w:rPr/>
        <w:t>supeditada</w:t>
      </w:r>
      <w:r>
        <w:rPr>
          <w:spacing w:val="-13"/>
        </w:rPr>
        <w:t> </w:t>
      </w:r>
      <w:r>
        <w:rPr/>
        <w:t>a</w:t>
      </w:r>
      <w:r>
        <w:rPr>
          <w:spacing w:val="-14"/>
        </w:rPr>
        <w:t> </w:t>
      </w:r>
      <w:r>
        <w:rPr/>
        <w:t>la</w:t>
      </w:r>
      <w:r>
        <w:rPr>
          <w:spacing w:val="-14"/>
        </w:rPr>
        <w:t> </w:t>
      </w:r>
      <w:r>
        <w:rPr/>
        <w:t>suscripción</w:t>
      </w:r>
      <w:r>
        <w:rPr>
          <w:spacing w:val="-14"/>
        </w:rPr>
        <w:t> </w:t>
      </w:r>
      <w:r>
        <w:rPr/>
        <w:t>del “Convenio para la financiación de las actuaciones derivadas del protocolo de colaboración de 2006” que “plasmará el compromiso de los socios alcanzados en el Consejo de Administración de 2 de octubre de 2017 para garantizar la integración global del ferrocarril en la ciudad de Murcia y que establecerá las condiciones económicas”.</w:t>
      </w:r>
    </w:p>
    <w:p>
      <w:pPr>
        <w:pStyle w:val="BodyText"/>
        <w:spacing w:line="247" w:lineRule="auto" w:before="229"/>
        <w:ind w:left="995" w:right="841"/>
        <w:jc w:val="both"/>
      </w:pPr>
      <w:r>
        <w:rPr/>
        <w:t>Con fecha 19 de julio de 2018, el Consejo de Administración de la Sociedad adopta el acuerdo del Ministerio</w:t>
      </w:r>
      <w:r>
        <w:rPr>
          <w:spacing w:val="-11"/>
        </w:rPr>
        <w:t> </w:t>
      </w:r>
      <w:r>
        <w:rPr/>
        <w:t>de</w:t>
      </w:r>
      <w:r>
        <w:rPr>
          <w:spacing w:val="-9"/>
        </w:rPr>
        <w:t> </w:t>
      </w:r>
      <w:r>
        <w:rPr/>
        <w:t>Fomento</w:t>
      </w:r>
      <w:r>
        <w:rPr>
          <w:spacing w:val="-9"/>
        </w:rPr>
        <w:t> </w:t>
      </w:r>
      <w:r>
        <w:rPr/>
        <w:t>(actualmente</w:t>
      </w:r>
      <w:r>
        <w:rPr>
          <w:spacing w:val="-9"/>
        </w:rPr>
        <w:t> </w:t>
      </w:r>
      <w:r>
        <w:rPr/>
        <w:t>Ministerio</w:t>
      </w:r>
      <w:r>
        <w:rPr>
          <w:spacing w:val="-9"/>
        </w:rPr>
        <w:t> </w:t>
      </w:r>
      <w:r>
        <w:rPr/>
        <w:t>de</w:t>
      </w:r>
      <w:r>
        <w:rPr>
          <w:spacing w:val="-11"/>
        </w:rPr>
        <w:t> </w:t>
      </w:r>
      <w:r>
        <w:rPr/>
        <w:t>Transportes</w:t>
      </w:r>
      <w:r>
        <w:rPr>
          <w:spacing w:val="-10"/>
        </w:rPr>
        <w:t> </w:t>
      </w:r>
      <w:r>
        <w:rPr/>
        <w:t>y</w:t>
      </w:r>
      <w:r>
        <w:rPr>
          <w:spacing w:val="-11"/>
        </w:rPr>
        <w:t> </w:t>
      </w:r>
      <w:r>
        <w:rPr/>
        <w:t>Movilidad</w:t>
      </w:r>
      <w:r>
        <w:rPr>
          <w:spacing w:val="-9"/>
        </w:rPr>
        <w:t> </w:t>
      </w:r>
      <w:r>
        <w:rPr/>
        <w:t>Sostenible)</w:t>
      </w:r>
      <w:r>
        <w:rPr>
          <w:spacing w:val="-9"/>
        </w:rPr>
        <w:t> </w:t>
      </w:r>
      <w:r>
        <w:rPr/>
        <w:t>para</w:t>
      </w:r>
      <w:r>
        <w:rPr>
          <w:spacing w:val="-9"/>
        </w:rPr>
        <w:t> </w:t>
      </w:r>
      <w:r>
        <w:rPr/>
        <w:t>proponer a ADIF</w:t>
      </w:r>
      <w:r>
        <w:rPr>
          <w:spacing w:val="-1"/>
        </w:rPr>
        <w:t> </w:t>
      </w:r>
      <w:r>
        <w:rPr/>
        <w:t>– Alta Velocidad la</w:t>
      </w:r>
      <w:r>
        <w:rPr>
          <w:spacing w:val="-3"/>
        </w:rPr>
        <w:t> </w:t>
      </w:r>
      <w:r>
        <w:rPr/>
        <w:t>llegada de la alta velocidad</w:t>
      </w:r>
      <w:r>
        <w:rPr>
          <w:spacing w:val="-2"/>
        </w:rPr>
        <w:t> </w:t>
      </w:r>
      <w:r>
        <w:rPr/>
        <w:t>soterrada a la estación de</w:t>
      </w:r>
      <w:r>
        <w:rPr>
          <w:spacing w:val="-3"/>
        </w:rPr>
        <w:t> </w:t>
      </w:r>
      <w:r>
        <w:rPr/>
        <w:t>Murcia El Carmen.</w:t>
      </w:r>
    </w:p>
    <w:p>
      <w:pPr>
        <w:pStyle w:val="BodyText"/>
        <w:spacing w:line="247" w:lineRule="auto" w:before="239"/>
        <w:ind w:left="995" w:right="838"/>
        <w:jc w:val="both"/>
      </w:pPr>
      <w:r>
        <w:rPr/>
        <w:t>Con</w:t>
      </w:r>
      <w:r>
        <w:rPr>
          <w:spacing w:val="-7"/>
        </w:rPr>
        <w:t> </w:t>
      </w:r>
      <w:r>
        <w:rPr/>
        <w:t>la</w:t>
      </w:r>
      <w:r>
        <w:rPr>
          <w:spacing w:val="-8"/>
        </w:rPr>
        <w:t> </w:t>
      </w:r>
      <w:r>
        <w:rPr/>
        <w:t>firma</w:t>
      </w:r>
      <w:r>
        <w:rPr>
          <w:spacing w:val="-9"/>
        </w:rPr>
        <w:t> </w:t>
      </w:r>
      <w:r>
        <w:rPr/>
        <w:t>de</w:t>
      </w:r>
      <w:r>
        <w:rPr>
          <w:spacing w:val="-7"/>
        </w:rPr>
        <w:t> </w:t>
      </w:r>
      <w:r>
        <w:rPr/>
        <w:t>la</w:t>
      </w:r>
      <w:r>
        <w:rPr>
          <w:spacing w:val="-7"/>
        </w:rPr>
        <w:t> </w:t>
      </w:r>
      <w:r>
        <w:rPr/>
        <w:t>“Adenda</w:t>
      </w:r>
      <w:r>
        <w:rPr>
          <w:spacing w:val="-9"/>
        </w:rPr>
        <w:t> </w:t>
      </w:r>
      <w:r>
        <w:rPr/>
        <w:t>Modificativa</w:t>
      </w:r>
      <w:r>
        <w:rPr>
          <w:spacing w:val="-6"/>
        </w:rPr>
        <w:t> </w:t>
      </w:r>
      <w:r>
        <w:rPr/>
        <w:t>del</w:t>
      </w:r>
      <w:r>
        <w:rPr>
          <w:spacing w:val="-6"/>
        </w:rPr>
        <w:t> </w:t>
      </w:r>
      <w:r>
        <w:rPr/>
        <w:t>Convenio</w:t>
      </w:r>
      <w:r>
        <w:rPr>
          <w:spacing w:val="-8"/>
        </w:rPr>
        <w:t> </w:t>
      </w:r>
      <w:r>
        <w:rPr/>
        <w:t>suscrito</w:t>
      </w:r>
      <w:r>
        <w:rPr>
          <w:spacing w:val="-10"/>
        </w:rPr>
        <w:t> </w:t>
      </w:r>
      <w:r>
        <w:rPr/>
        <w:t>en</w:t>
      </w:r>
      <w:r>
        <w:rPr>
          <w:spacing w:val="-7"/>
        </w:rPr>
        <w:t> </w:t>
      </w:r>
      <w:r>
        <w:rPr/>
        <w:t>junio</w:t>
      </w:r>
      <w:r>
        <w:rPr>
          <w:spacing w:val="-7"/>
        </w:rPr>
        <w:t> </w:t>
      </w:r>
      <w:r>
        <w:rPr/>
        <w:t>de</w:t>
      </w:r>
      <w:r>
        <w:rPr>
          <w:spacing w:val="-8"/>
        </w:rPr>
        <w:t> </w:t>
      </w:r>
      <w:r>
        <w:rPr/>
        <w:t>2006</w:t>
      </w:r>
      <w:r>
        <w:rPr>
          <w:spacing w:val="-8"/>
        </w:rPr>
        <w:t> </w:t>
      </w:r>
      <w:r>
        <w:rPr/>
        <w:t>para</w:t>
      </w:r>
      <w:r>
        <w:rPr>
          <w:spacing w:val="-8"/>
        </w:rPr>
        <w:t> </w:t>
      </w:r>
      <w:r>
        <w:rPr/>
        <w:t>la</w:t>
      </w:r>
      <w:r>
        <w:rPr>
          <w:spacing w:val="-8"/>
        </w:rPr>
        <w:t> </w:t>
      </w:r>
      <w:r>
        <w:rPr/>
        <w:t>remodelación de</w:t>
      </w:r>
      <w:r>
        <w:rPr>
          <w:spacing w:val="-2"/>
        </w:rPr>
        <w:t> </w:t>
      </w:r>
      <w:r>
        <w:rPr/>
        <w:t>la</w:t>
      </w:r>
      <w:r>
        <w:rPr>
          <w:spacing w:val="-2"/>
        </w:rPr>
        <w:t> </w:t>
      </w:r>
      <w:r>
        <w:rPr/>
        <w:t>Red</w:t>
      </w:r>
      <w:r>
        <w:rPr>
          <w:spacing w:val="-1"/>
        </w:rPr>
        <w:t> </w:t>
      </w:r>
      <w:r>
        <w:rPr/>
        <w:t>Arterial</w:t>
      </w:r>
      <w:r>
        <w:rPr>
          <w:spacing w:val="-1"/>
        </w:rPr>
        <w:t> </w:t>
      </w:r>
      <w:r>
        <w:rPr/>
        <w:t>Ferroviaria</w:t>
      </w:r>
      <w:r>
        <w:rPr>
          <w:spacing w:val="-1"/>
        </w:rPr>
        <w:t> </w:t>
      </w:r>
      <w:r>
        <w:rPr/>
        <w:t>de</w:t>
      </w:r>
      <w:r>
        <w:rPr>
          <w:spacing w:val="-2"/>
        </w:rPr>
        <w:t> </w:t>
      </w:r>
      <w:r>
        <w:rPr/>
        <w:t>la</w:t>
      </w:r>
      <w:r>
        <w:rPr>
          <w:spacing w:val="-1"/>
        </w:rPr>
        <w:t> </w:t>
      </w:r>
      <w:r>
        <w:rPr/>
        <w:t>ciudad</w:t>
      </w:r>
      <w:r>
        <w:rPr>
          <w:spacing w:val="-1"/>
        </w:rPr>
        <w:t> </w:t>
      </w:r>
      <w:r>
        <w:rPr/>
        <w:t>de</w:t>
      </w:r>
      <w:r>
        <w:rPr>
          <w:spacing w:val="-2"/>
        </w:rPr>
        <w:t> </w:t>
      </w:r>
      <w:r>
        <w:rPr/>
        <w:t>Murcia”</w:t>
      </w:r>
      <w:r>
        <w:rPr>
          <w:spacing w:val="-3"/>
        </w:rPr>
        <w:t> </w:t>
      </w:r>
      <w:r>
        <w:rPr/>
        <w:t>se</w:t>
      </w:r>
      <w:r>
        <w:rPr>
          <w:spacing w:val="-2"/>
        </w:rPr>
        <w:t> </w:t>
      </w:r>
      <w:r>
        <w:rPr/>
        <w:t>integran en</w:t>
      </w:r>
      <w:r>
        <w:rPr>
          <w:spacing w:val="-1"/>
        </w:rPr>
        <w:t> </w:t>
      </w:r>
      <w:r>
        <w:rPr/>
        <w:t>un</w:t>
      </w:r>
      <w:r>
        <w:rPr>
          <w:spacing w:val="-1"/>
        </w:rPr>
        <w:t> </w:t>
      </w:r>
      <w:r>
        <w:rPr/>
        <w:t>único</w:t>
      </w:r>
      <w:r>
        <w:rPr>
          <w:spacing w:val="-1"/>
        </w:rPr>
        <w:t> </w:t>
      </w:r>
      <w:r>
        <w:rPr/>
        <w:t>texto</w:t>
      </w:r>
      <w:r>
        <w:rPr>
          <w:spacing w:val="-1"/>
        </w:rPr>
        <w:t> </w:t>
      </w:r>
      <w:r>
        <w:rPr/>
        <w:t>los</w:t>
      </w:r>
      <w:r>
        <w:rPr>
          <w:spacing w:val="-2"/>
        </w:rPr>
        <w:t> </w:t>
      </w:r>
      <w:r>
        <w:rPr/>
        <w:t>compromisos que continúan vigentes del documento de 22 de junio de 2006, así como aquellos derivados de los pactos y condiciones alcanzados por las partes desde la suscripción de dicho documento hasta la actualidad, respondiendo, entre otros, a los siguientes fines:</w:t>
      </w:r>
    </w:p>
    <w:p>
      <w:pPr>
        <w:pStyle w:val="ListParagraph"/>
        <w:numPr>
          <w:ilvl w:val="1"/>
          <w:numId w:val="2"/>
        </w:numPr>
        <w:tabs>
          <w:tab w:pos="1276" w:val="left" w:leader="none"/>
        </w:tabs>
        <w:spacing w:line="240" w:lineRule="auto" w:before="238" w:after="0"/>
        <w:ind w:left="1276" w:right="0" w:hanging="137"/>
        <w:jc w:val="left"/>
        <w:rPr>
          <w:sz w:val="22"/>
        </w:rPr>
      </w:pPr>
      <w:r>
        <w:rPr>
          <w:spacing w:val="-4"/>
          <w:sz w:val="22"/>
        </w:rPr>
        <w:t>Garantizar</w:t>
      </w:r>
      <w:r>
        <w:rPr>
          <w:spacing w:val="-6"/>
          <w:sz w:val="22"/>
        </w:rPr>
        <w:t> </w:t>
      </w:r>
      <w:r>
        <w:rPr>
          <w:spacing w:val="-4"/>
          <w:sz w:val="22"/>
        </w:rPr>
        <w:t>la</w:t>
      </w:r>
      <w:r>
        <w:rPr>
          <w:spacing w:val="-1"/>
          <w:sz w:val="22"/>
        </w:rPr>
        <w:t> </w:t>
      </w:r>
      <w:r>
        <w:rPr>
          <w:spacing w:val="-4"/>
          <w:sz w:val="22"/>
        </w:rPr>
        <w:t>ejecución</w:t>
      </w:r>
      <w:r>
        <w:rPr>
          <w:spacing w:val="-2"/>
          <w:sz w:val="22"/>
        </w:rPr>
        <w:t> </w:t>
      </w:r>
      <w:r>
        <w:rPr>
          <w:spacing w:val="-4"/>
          <w:sz w:val="22"/>
        </w:rPr>
        <w:t>de la</w:t>
      </w:r>
      <w:r>
        <w:rPr>
          <w:spacing w:val="-3"/>
          <w:sz w:val="22"/>
        </w:rPr>
        <w:t> </w:t>
      </w:r>
      <w:r>
        <w:rPr>
          <w:spacing w:val="-4"/>
          <w:sz w:val="22"/>
        </w:rPr>
        <w:t>integración</w:t>
      </w:r>
      <w:r>
        <w:rPr>
          <w:spacing w:val="-1"/>
          <w:sz w:val="22"/>
        </w:rPr>
        <w:t> </w:t>
      </w:r>
      <w:r>
        <w:rPr>
          <w:spacing w:val="-4"/>
          <w:sz w:val="22"/>
        </w:rPr>
        <w:t>global</w:t>
      </w:r>
      <w:r>
        <w:rPr>
          <w:spacing w:val="-2"/>
          <w:sz w:val="22"/>
        </w:rPr>
        <w:t> </w:t>
      </w:r>
      <w:r>
        <w:rPr>
          <w:spacing w:val="-4"/>
          <w:sz w:val="22"/>
        </w:rPr>
        <w:t>de</w:t>
      </w:r>
      <w:r>
        <w:rPr>
          <w:spacing w:val="-2"/>
          <w:sz w:val="22"/>
        </w:rPr>
        <w:t> </w:t>
      </w:r>
      <w:r>
        <w:rPr>
          <w:spacing w:val="-4"/>
          <w:sz w:val="22"/>
        </w:rPr>
        <w:t>ferrocarril</w:t>
      </w:r>
      <w:r>
        <w:rPr>
          <w:spacing w:val="-1"/>
          <w:sz w:val="22"/>
        </w:rPr>
        <w:t> </w:t>
      </w:r>
      <w:r>
        <w:rPr>
          <w:spacing w:val="-4"/>
          <w:sz w:val="22"/>
        </w:rPr>
        <w:t>en</w:t>
      </w:r>
      <w:r>
        <w:rPr>
          <w:spacing w:val="-2"/>
          <w:sz w:val="22"/>
        </w:rPr>
        <w:t> </w:t>
      </w:r>
      <w:r>
        <w:rPr>
          <w:spacing w:val="-4"/>
          <w:sz w:val="22"/>
        </w:rPr>
        <w:t>la</w:t>
      </w:r>
      <w:r>
        <w:rPr>
          <w:spacing w:val="-3"/>
          <w:sz w:val="22"/>
        </w:rPr>
        <w:t> </w:t>
      </w:r>
      <w:r>
        <w:rPr>
          <w:spacing w:val="-4"/>
          <w:sz w:val="22"/>
        </w:rPr>
        <w:t>ciudad</w:t>
      </w:r>
      <w:r>
        <w:rPr>
          <w:spacing w:val="-2"/>
          <w:sz w:val="22"/>
        </w:rPr>
        <w:t> </w:t>
      </w:r>
      <w:r>
        <w:rPr>
          <w:spacing w:val="-4"/>
          <w:sz w:val="22"/>
        </w:rPr>
        <w:t>de</w:t>
      </w:r>
      <w:r>
        <w:rPr>
          <w:spacing w:val="-2"/>
          <w:sz w:val="22"/>
        </w:rPr>
        <w:t> </w:t>
      </w:r>
      <w:r>
        <w:rPr>
          <w:spacing w:val="-4"/>
          <w:sz w:val="22"/>
        </w:rPr>
        <w:t>Murcia.</w:t>
      </w:r>
    </w:p>
    <w:p>
      <w:pPr>
        <w:pStyle w:val="ListParagraph"/>
        <w:numPr>
          <w:ilvl w:val="1"/>
          <w:numId w:val="2"/>
        </w:numPr>
        <w:tabs>
          <w:tab w:pos="1274" w:val="left" w:leader="none"/>
          <w:tab w:pos="1278" w:val="left" w:leader="none"/>
        </w:tabs>
        <w:spacing w:line="247" w:lineRule="auto" w:before="246" w:after="0"/>
        <w:ind w:left="1278" w:right="839" w:hanging="141"/>
        <w:jc w:val="both"/>
        <w:rPr>
          <w:sz w:val="22"/>
        </w:rPr>
      </w:pPr>
      <w:r>
        <w:rPr>
          <w:sz w:val="22"/>
        </w:rPr>
        <w:t>Actualizar</w:t>
      </w:r>
      <w:r>
        <w:rPr>
          <w:spacing w:val="-8"/>
          <w:sz w:val="22"/>
        </w:rPr>
        <w:t> </w:t>
      </w:r>
      <w:r>
        <w:rPr>
          <w:sz w:val="22"/>
        </w:rPr>
        <w:t>los</w:t>
      </w:r>
      <w:r>
        <w:rPr>
          <w:spacing w:val="-8"/>
          <w:sz w:val="22"/>
        </w:rPr>
        <w:t> </w:t>
      </w:r>
      <w:r>
        <w:rPr>
          <w:sz w:val="22"/>
        </w:rPr>
        <w:t>costes</w:t>
      </w:r>
      <w:r>
        <w:rPr>
          <w:spacing w:val="-9"/>
          <w:sz w:val="22"/>
        </w:rPr>
        <w:t> </w:t>
      </w:r>
      <w:r>
        <w:rPr>
          <w:sz w:val="22"/>
        </w:rPr>
        <w:t>estimados</w:t>
      </w:r>
      <w:r>
        <w:rPr>
          <w:spacing w:val="-9"/>
          <w:sz w:val="22"/>
        </w:rPr>
        <w:t> </w:t>
      </w:r>
      <w:r>
        <w:rPr>
          <w:sz w:val="22"/>
        </w:rPr>
        <w:t>en</w:t>
      </w:r>
      <w:r>
        <w:rPr>
          <w:spacing w:val="-9"/>
          <w:sz w:val="22"/>
        </w:rPr>
        <w:t> </w:t>
      </w:r>
      <w:r>
        <w:rPr>
          <w:sz w:val="22"/>
        </w:rPr>
        <w:t>617,25</w:t>
      </w:r>
      <w:r>
        <w:rPr>
          <w:spacing w:val="-8"/>
          <w:sz w:val="22"/>
        </w:rPr>
        <w:t> </w:t>
      </w:r>
      <w:r>
        <w:rPr>
          <w:sz w:val="22"/>
        </w:rPr>
        <w:t>millones</w:t>
      </w:r>
      <w:r>
        <w:rPr>
          <w:spacing w:val="-9"/>
          <w:sz w:val="22"/>
        </w:rPr>
        <w:t> </w:t>
      </w:r>
      <w:r>
        <w:rPr>
          <w:sz w:val="22"/>
        </w:rPr>
        <w:t>de</w:t>
      </w:r>
      <w:r>
        <w:rPr>
          <w:spacing w:val="-10"/>
          <w:sz w:val="22"/>
        </w:rPr>
        <w:t> </w:t>
      </w:r>
      <w:r>
        <w:rPr>
          <w:sz w:val="22"/>
        </w:rPr>
        <w:t>euros</w:t>
      </w:r>
      <w:r>
        <w:rPr>
          <w:spacing w:val="-9"/>
          <w:sz w:val="22"/>
        </w:rPr>
        <w:t> </w:t>
      </w:r>
      <w:r>
        <w:rPr>
          <w:sz w:val="22"/>
        </w:rPr>
        <w:t>y</w:t>
      </w:r>
      <w:r>
        <w:rPr>
          <w:spacing w:val="-10"/>
          <w:sz w:val="22"/>
        </w:rPr>
        <w:t> </w:t>
      </w:r>
      <w:r>
        <w:rPr>
          <w:sz w:val="22"/>
        </w:rPr>
        <w:t>definir</w:t>
      </w:r>
      <w:r>
        <w:rPr>
          <w:spacing w:val="-9"/>
          <w:sz w:val="22"/>
        </w:rPr>
        <w:t> </w:t>
      </w:r>
      <w:r>
        <w:rPr>
          <w:sz w:val="22"/>
        </w:rPr>
        <w:t>las</w:t>
      </w:r>
      <w:r>
        <w:rPr>
          <w:spacing w:val="-10"/>
          <w:sz w:val="22"/>
        </w:rPr>
        <w:t> </w:t>
      </w:r>
      <w:r>
        <w:rPr>
          <w:sz w:val="22"/>
        </w:rPr>
        <w:t>actuaciones</w:t>
      </w:r>
      <w:r>
        <w:rPr>
          <w:spacing w:val="-9"/>
          <w:sz w:val="22"/>
        </w:rPr>
        <w:t> </w:t>
      </w:r>
      <w:r>
        <w:rPr>
          <w:sz w:val="22"/>
        </w:rPr>
        <w:t>contempladas en el documento suscrito en junio de 2006.</w:t>
      </w:r>
    </w:p>
    <w:p>
      <w:pPr>
        <w:pStyle w:val="ListParagraph"/>
        <w:numPr>
          <w:ilvl w:val="1"/>
          <w:numId w:val="2"/>
        </w:numPr>
        <w:tabs>
          <w:tab w:pos="1274" w:val="left" w:leader="none"/>
          <w:tab w:pos="1278" w:val="left" w:leader="none"/>
        </w:tabs>
        <w:spacing w:line="247" w:lineRule="auto" w:before="239" w:after="0"/>
        <w:ind w:left="1278" w:right="848" w:hanging="141"/>
        <w:jc w:val="both"/>
        <w:rPr>
          <w:sz w:val="22"/>
        </w:rPr>
      </w:pPr>
      <w:r>
        <w:rPr>
          <w:sz w:val="22"/>
        </w:rPr>
        <w:t>Dar continuidad a la actividad social hasta que ésta haya cumplido con la totalidad de sus obligaciones financieras derivadas de la ejecución de las actuaciones de integración ferroviaria y </w:t>
      </w:r>
      <w:r>
        <w:rPr>
          <w:spacing w:val="-2"/>
          <w:sz w:val="22"/>
        </w:rPr>
        <w:t>urbanística.</w:t>
      </w:r>
    </w:p>
    <w:p>
      <w:pPr>
        <w:pStyle w:val="ListParagraph"/>
        <w:numPr>
          <w:ilvl w:val="1"/>
          <w:numId w:val="2"/>
        </w:numPr>
        <w:tabs>
          <w:tab w:pos="1274" w:val="left" w:leader="none"/>
          <w:tab w:pos="1278" w:val="left" w:leader="none"/>
        </w:tabs>
        <w:spacing w:line="247" w:lineRule="auto" w:before="238" w:after="0"/>
        <w:ind w:left="1278" w:right="846" w:hanging="141"/>
        <w:jc w:val="both"/>
        <w:rPr>
          <w:sz w:val="22"/>
        </w:rPr>
      </w:pPr>
      <w:r>
        <w:rPr>
          <w:sz w:val="22"/>
        </w:rPr>
        <w:t>Proceder a la venta de terrenos titularidad de la Sociedad resultantes de la desafectación del uso ferroviario y transmitidos por sus accionistas, aplicando las plusvalías a la financiación de las </w:t>
      </w:r>
      <w:r>
        <w:rPr>
          <w:spacing w:val="-2"/>
          <w:sz w:val="22"/>
        </w:rPr>
        <w:t>actuaciones.</w:t>
      </w:r>
    </w:p>
    <w:p>
      <w:pPr>
        <w:pStyle w:val="BodyText"/>
        <w:spacing w:line="247" w:lineRule="auto" w:before="117"/>
        <w:ind w:left="995" w:right="850"/>
        <w:jc w:val="both"/>
      </w:pPr>
      <w:r>
        <w:rPr/>
        <w:t>Los recursos económicos que se obtengan por la Sociedad como consecuencia del desarrollo urbanístico del ámbito de actuación se aplicarán:</w:t>
      </w:r>
    </w:p>
    <w:p>
      <w:pPr>
        <w:pStyle w:val="BodyText"/>
        <w:spacing w:before="106"/>
      </w:pPr>
    </w:p>
    <w:p>
      <w:pPr>
        <w:pStyle w:val="ListParagraph"/>
        <w:numPr>
          <w:ilvl w:val="1"/>
          <w:numId w:val="2"/>
        </w:numPr>
        <w:tabs>
          <w:tab w:pos="1275" w:val="left" w:leader="none"/>
          <w:tab w:pos="1277" w:val="left" w:leader="none"/>
        </w:tabs>
        <w:spacing w:line="244" w:lineRule="auto" w:before="0" w:after="0"/>
        <w:ind w:left="1277" w:right="845" w:hanging="142"/>
        <w:jc w:val="both"/>
        <w:rPr>
          <w:sz w:val="22"/>
        </w:rPr>
      </w:pPr>
      <w:r>
        <w:rPr>
          <w:sz w:val="22"/>
        </w:rPr>
        <w:t>En primer lugar, a la devolución de los desembolsos realizados por los socios en el préstamo participativo de 8,5 millones de euros otorgado a la Sociedad en julio de 2014, y</w:t>
      </w:r>
    </w:p>
    <w:p>
      <w:pPr>
        <w:pStyle w:val="ListParagraph"/>
        <w:numPr>
          <w:ilvl w:val="1"/>
          <w:numId w:val="2"/>
        </w:numPr>
        <w:tabs>
          <w:tab w:pos="1274" w:val="left" w:leader="none"/>
          <w:tab w:pos="1278" w:val="left" w:leader="none"/>
        </w:tabs>
        <w:spacing w:line="247" w:lineRule="auto" w:before="243" w:after="0"/>
        <w:ind w:left="1278" w:right="840" w:hanging="141"/>
        <w:jc w:val="both"/>
        <w:rPr>
          <w:sz w:val="22"/>
        </w:rPr>
      </w:pPr>
      <w:r>
        <w:rPr>
          <w:sz w:val="22"/>
        </w:rPr>
        <w:t>En</w:t>
      </w:r>
      <w:r>
        <w:rPr>
          <w:spacing w:val="-1"/>
          <w:sz w:val="22"/>
        </w:rPr>
        <w:t> </w:t>
      </w:r>
      <w:r>
        <w:rPr>
          <w:sz w:val="22"/>
        </w:rPr>
        <w:t>segundo</w:t>
      </w:r>
      <w:r>
        <w:rPr>
          <w:spacing w:val="-1"/>
          <w:sz w:val="22"/>
        </w:rPr>
        <w:t> </w:t>
      </w:r>
      <w:r>
        <w:rPr>
          <w:sz w:val="22"/>
        </w:rPr>
        <w:t>lugar,</w:t>
      </w:r>
      <w:r>
        <w:rPr>
          <w:spacing w:val="-1"/>
          <w:sz w:val="22"/>
        </w:rPr>
        <w:t> </w:t>
      </w:r>
      <w:r>
        <w:rPr>
          <w:sz w:val="22"/>
        </w:rPr>
        <w:t>a</w:t>
      </w:r>
      <w:r>
        <w:rPr>
          <w:spacing w:val="-2"/>
          <w:sz w:val="22"/>
        </w:rPr>
        <w:t> </w:t>
      </w:r>
      <w:r>
        <w:rPr>
          <w:sz w:val="22"/>
        </w:rPr>
        <w:t>disminuir</w:t>
      </w:r>
      <w:r>
        <w:rPr>
          <w:spacing w:val="-1"/>
          <w:sz w:val="22"/>
        </w:rPr>
        <w:t> </w:t>
      </w:r>
      <w:r>
        <w:rPr>
          <w:sz w:val="22"/>
        </w:rPr>
        <w:t>las</w:t>
      </w:r>
      <w:r>
        <w:rPr>
          <w:spacing w:val="-2"/>
          <w:sz w:val="22"/>
        </w:rPr>
        <w:t> </w:t>
      </w:r>
      <w:r>
        <w:rPr>
          <w:sz w:val="22"/>
        </w:rPr>
        <w:t>aportaciones</w:t>
      </w:r>
      <w:r>
        <w:rPr>
          <w:spacing w:val="-1"/>
          <w:sz w:val="22"/>
        </w:rPr>
        <w:t> </w:t>
      </w:r>
      <w:r>
        <w:rPr>
          <w:sz w:val="22"/>
        </w:rPr>
        <w:t>que</w:t>
      </w:r>
      <w:r>
        <w:rPr>
          <w:spacing w:val="-2"/>
          <w:sz w:val="22"/>
        </w:rPr>
        <w:t> </w:t>
      </w:r>
      <w:r>
        <w:rPr>
          <w:sz w:val="22"/>
        </w:rPr>
        <w:t>los socios</w:t>
      </w:r>
      <w:r>
        <w:rPr>
          <w:spacing w:val="-2"/>
          <w:sz w:val="22"/>
        </w:rPr>
        <w:t> </w:t>
      </w:r>
      <w:r>
        <w:rPr>
          <w:sz w:val="22"/>
        </w:rPr>
        <w:t>tengan</w:t>
      </w:r>
      <w:r>
        <w:rPr>
          <w:spacing w:val="-2"/>
          <w:sz w:val="22"/>
        </w:rPr>
        <w:t> </w:t>
      </w:r>
      <w:r>
        <w:rPr>
          <w:sz w:val="22"/>
        </w:rPr>
        <w:t>que</w:t>
      </w:r>
      <w:r>
        <w:rPr>
          <w:spacing w:val="-2"/>
          <w:sz w:val="22"/>
        </w:rPr>
        <w:t> </w:t>
      </w:r>
      <w:r>
        <w:rPr>
          <w:sz w:val="22"/>
        </w:rPr>
        <w:t>realizar</w:t>
      </w:r>
      <w:r>
        <w:rPr>
          <w:spacing w:val="-3"/>
          <w:sz w:val="22"/>
        </w:rPr>
        <w:t> </w:t>
      </w:r>
      <w:r>
        <w:rPr>
          <w:sz w:val="22"/>
        </w:rPr>
        <w:t>anualmente</w:t>
      </w:r>
      <w:r>
        <w:rPr>
          <w:spacing w:val="-2"/>
          <w:sz w:val="22"/>
        </w:rPr>
        <w:t> </w:t>
      </w:r>
      <w:r>
        <w:rPr>
          <w:sz w:val="22"/>
        </w:rPr>
        <w:t>para garantizar la ejecución de las actuaciones.</w:t>
      </w:r>
    </w:p>
    <w:p>
      <w:pPr>
        <w:pStyle w:val="BodyText"/>
        <w:spacing w:before="241"/>
        <w:ind w:left="995"/>
        <w:jc w:val="both"/>
      </w:pPr>
      <w:r>
        <w:rPr>
          <w:spacing w:val="-2"/>
        </w:rPr>
        <w:t>Las</w:t>
      </w:r>
      <w:r>
        <w:rPr>
          <w:spacing w:val="-12"/>
        </w:rPr>
        <w:t> </w:t>
      </w:r>
      <w:r>
        <w:rPr>
          <w:spacing w:val="-2"/>
        </w:rPr>
        <w:t>actuaciones</w:t>
      </w:r>
      <w:r>
        <w:rPr>
          <w:spacing w:val="-10"/>
        </w:rPr>
        <w:t> </w:t>
      </w:r>
      <w:r>
        <w:rPr>
          <w:spacing w:val="-2"/>
        </w:rPr>
        <w:t>a</w:t>
      </w:r>
      <w:r>
        <w:rPr>
          <w:spacing w:val="-9"/>
        </w:rPr>
        <w:t> </w:t>
      </w:r>
      <w:r>
        <w:rPr>
          <w:spacing w:val="-2"/>
        </w:rPr>
        <w:t>ejecutar</w:t>
      </w:r>
      <w:r>
        <w:rPr>
          <w:spacing w:val="-9"/>
        </w:rPr>
        <w:t> </w:t>
      </w:r>
      <w:r>
        <w:rPr>
          <w:spacing w:val="-2"/>
        </w:rPr>
        <w:t>y</w:t>
      </w:r>
      <w:r>
        <w:rPr>
          <w:spacing w:val="-11"/>
        </w:rPr>
        <w:t> </w:t>
      </w:r>
      <w:r>
        <w:rPr>
          <w:spacing w:val="-2"/>
        </w:rPr>
        <w:t>el</w:t>
      </w:r>
      <w:r>
        <w:rPr>
          <w:spacing w:val="-7"/>
        </w:rPr>
        <w:t> </w:t>
      </w:r>
      <w:r>
        <w:rPr>
          <w:spacing w:val="-2"/>
        </w:rPr>
        <w:t>plan</w:t>
      </w:r>
      <w:r>
        <w:rPr>
          <w:spacing w:val="-9"/>
        </w:rPr>
        <w:t> </w:t>
      </w:r>
      <w:r>
        <w:rPr>
          <w:spacing w:val="-2"/>
        </w:rPr>
        <w:t>de</w:t>
      </w:r>
      <w:r>
        <w:rPr>
          <w:spacing w:val="-10"/>
        </w:rPr>
        <w:t> </w:t>
      </w:r>
      <w:r>
        <w:rPr>
          <w:spacing w:val="-2"/>
        </w:rPr>
        <w:t>etapas</w:t>
      </w:r>
      <w:r>
        <w:rPr>
          <w:spacing w:val="-10"/>
        </w:rPr>
        <w:t> </w:t>
      </w:r>
      <w:r>
        <w:rPr>
          <w:spacing w:val="-2"/>
        </w:rPr>
        <w:t>son</w:t>
      </w:r>
      <w:r>
        <w:rPr>
          <w:spacing w:val="-7"/>
        </w:rPr>
        <w:t> </w:t>
      </w:r>
      <w:r>
        <w:rPr>
          <w:spacing w:val="-2"/>
        </w:rPr>
        <w:t>los</w:t>
      </w:r>
      <w:r>
        <w:rPr>
          <w:spacing w:val="-9"/>
        </w:rPr>
        <w:t> </w:t>
      </w:r>
      <w:r>
        <w:rPr>
          <w:spacing w:val="-2"/>
        </w:rPr>
        <w:t>siguientes:</w:t>
      </w:r>
    </w:p>
    <w:p>
      <w:pPr>
        <w:pStyle w:val="ListParagraph"/>
        <w:numPr>
          <w:ilvl w:val="0"/>
          <w:numId w:val="3"/>
        </w:numPr>
        <w:tabs>
          <w:tab w:pos="1430" w:val="left" w:leader="none"/>
        </w:tabs>
        <w:spacing w:line="244" w:lineRule="auto" w:before="110" w:after="0"/>
        <w:ind w:left="1430" w:right="842" w:hanging="360"/>
        <w:jc w:val="both"/>
        <w:rPr>
          <w:sz w:val="22"/>
        </w:rPr>
      </w:pPr>
      <w:r>
        <w:rPr>
          <w:sz w:val="22"/>
        </w:rPr>
        <w:t>Remodelación de los accesos ferroviarios a la ciudad de Murcia mediante la construcción de un trazado,</w:t>
      </w:r>
      <w:r>
        <w:rPr>
          <w:spacing w:val="-2"/>
          <w:sz w:val="22"/>
        </w:rPr>
        <w:t> </w:t>
      </w:r>
      <w:r>
        <w:rPr>
          <w:sz w:val="22"/>
        </w:rPr>
        <w:t>adaptado</w:t>
      </w:r>
      <w:r>
        <w:rPr>
          <w:spacing w:val="-1"/>
          <w:sz w:val="22"/>
        </w:rPr>
        <w:t> </w:t>
      </w:r>
      <w:r>
        <w:rPr>
          <w:sz w:val="22"/>
        </w:rPr>
        <w:t>a</w:t>
      </w:r>
      <w:r>
        <w:rPr>
          <w:spacing w:val="-3"/>
          <w:sz w:val="22"/>
        </w:rPr>
        <w:t> </w:t>
      </w:r>
      <w:r>
        <w:rPr>
          <w:sz w:val="22"/>
        </w:rPr>
        <w:t>la</w:t>
      </w:r>
      <w:r>
        <w:rPr>
          <w:spacing w:val="-3"/>
          <w:sz w:val="22"/>
        </w:rPr>
        <w:t> </w:t>
      </w:r>
      <w:r>
        <w:rPr>
          <w:sz w:val="22"/>
        </w:rPr>
        <w:t>nueva</w:t>
      </w:r>
      <w:r>
        <w:rPr>
          <w:spacing w:val="-1"/>
          <w:sz w:val="22"/>
        </w:rPr>
        <w:t> </w:t>
      </w:r>
      <w:r>
        <w:rPr>
          <w:sz w:val="22"/>
        </w:rPr>
        <w:t>funcionalidad</w:t>
      </w:r>
      <w:r>
        <w:rPr>
          <w:spacing w:val="-1"/>
          <w:sz w:val="22"/>
        </w:rPr>
        <w:t> </w:t>
      </w:r>
      <w:r>
        <w:rPr>
          <w:sz w:val="22"/>
        </w:rPr>
        <w:t>ferroviaria</w:t>
      </w:r>
      <w:r>
        <w:rPr>
          <w:spacing w:val="-2"/>
          <w:sz w:val="22"/>
        </w:rPr>
        <w:t> </w:t>
      </w:r>
      <w:r>
        <w:rPr>
          <w:sz w:val="22"/>
        </w:rPr>
        <w:t>y</w:t>
      </w:r>
      <w:r>
        <w:rPr>
          <w:spacing w:val="-2"/>
          <w:sz w:val="22"/>
        </w:rPr>
        <w:t> </w:t>
      </w:r>
      <w:r>
        <w:rPr>
          <w:sz w:val="22"/>
        </w:rPr>
        <w:t>a</w:t>
      </w:r>
      <w:r>
        <w:rPr>
          <w:spacing w:val="-3"/>
          <w:sz w:val="22"/>
        </w:rPr>
        <w:t> </w:t>
      </w:r>
      <w:r>
        <w:rPr>
          <w:sz w:val="22"/>
        </w:rPr>
        <w:t>la</w:t>
      </w:r>
      <w:r>
        <w:rPr>
          <w:spacing w:val="-3"/>
          <w:sz w:val="22"/>
        </w:rPr>
        <w:t> </w:t>
      </w:r>
      <w:r>
        <w:rPr>
          <w:sz w:val="22"/>
        </w:rPr>
        <w:t>llegada</w:t>
      </w:r>
      <w:r>
        <w:rPr>
          <w:spacing w:val="-2"/>
          <w:sz w:val="22"/>
        </w:rPr>
        <w:t> </w:t>
      </w:r>
      <w:r>
        <w:rPr>
          <w:sz w:val="22"/>
        </w:rPr>
        <w:t>de</w:t>
      </w:r>
      <w:r>
        <w:rPr>
          <w:spacing w:val="-2"/>
          <w:sz w:val="22"/>
        </w:rPr>
        <w:t> </w:t>
      </w:r>
      <w:r>
        <w:rPr>
          <w:sz w:val="22"/>
        </w:rPr>
        <w:t>la</w:t>
      </w:r>
      <w:r>
        <w:rPr>
          <w:spacing w:val="-1"/>
          <w:sz w:val="22"/>
        </w:rPr>
        <w:t> </w:t>
      </w:r>
      <w:r>
        <w:rPr>
          <w:sz w:val="22"/>
        </w:rPr>
        <w:t>alta</w:t>
      </w:r>
      <w:r>
        <w:rPr>
          <w:spacing w:val="-1"/>
          <w:sz w:val="22"/>
        </w:rPr>
        <w:t> </w:t>
      </w:r>
      <w:r>
        <w:rPr>
          <w:sz w:val="22"/>
        </w:rPr>
        <w:t>velocidad,</w:t>
      </w:r>
      <w:r>
        <w:rPr>
          <w:spacing w:val="-1"/>
          <w:sz w:val="22"/>
        </w:rPr>
        <w:t> </w:t>
      </w:r>
      <w:r>
        <w:rPr>
          <w:sz w:val="22"/>
        </w:rPr>
        <w:t>que</w:t>
      </w:r>
      <w:r>
        <w:rPr>
          <w:spacing w:val="-3"/>
          <w:sz w:val="22"/>
        </w:rPr>
        <w:t> </w:t>
      </w:r>
      <w:r>
        <w:rPr>
          <w:sz w:val="22"/>
        </w:rPr>
        <w:t>sea compatible con la red existente.</w:t>
      </w:r>
    </w:p>
    <w:p>
      <w:pPr>
        <w:pStyle w:val="BodyText"/>
        <w:spacing w:line="244" w:lineRule="auto" w:before="125"/>
        <w:ind w:left="1430" w:right="842"/>
        <w:jc w:val="both"/>
      </w:pPr>
      <w:r>
        <w:rPr/>
        <w:t>Se</w:t>
      </w:r>
      <w:r>
        <w:rPr>
          <w:spacing w:val="-5"/>
        </w:rPr>
        <w:t> </w:t>
      </w:r>
      <w:r>
        <w:rPr/>
        <w:t>incluye</w:t>
      </w:r>
      <w:r>
        <w:rPr>
          <w:spacing w:val="-5"/>
        </w:rPr>
        <w:t> </w:t>
      </w:r>
      <w:r>
        <w:rPr/>
        <w:t>la</w:t>
      </w:r>
      <w:r>
        <w:rPr>
          <w:spacing w:val="-5"/>
        </w:rPr>
        <w:t> </w:t>
      </w:r>
      <w:r>
        <w:rPr/>
        <w:t>integración</w:t>
      </w:r>
      <w:r>
        <w:rPr>
          <w:spacing w:val="-3"/>
        </w:rPr>
        <w:t> </w:t>
      </w:r>
      <w:r>
        <w:rPr/>
        <w:t>del</w:t>
      </w:r>
      <w:r>
        <w:rPr>
          <w:spacing w:val="-4"/>
        </w:rPr>
        <w:t> </w:t>
      </w:r>
      <w:r>
        <w:rPr/>
        <w:t>corredor</w:t>
      </w:r>
      <w:r>
        <w:rPr>
          <w:spacing w:val="-3"/>
        </w:rPr>
        <w:t> </w:t>
      </w:r>
      <w:r>
        <w:rPr/>
        <w:t>ferroviario</w:t>
      </w:r>
      <w:r>
        <w:rPr>
          <w:spacing w:val="-5"/>
        </w:rPr>
        <w:t> </w:t>
      </w:r>
      <w:r>
        <w:rPr/>
        <w:t>en</w:t>
      </w:r>
      <w:r>
        <w:rPr>
          <w:spacing w:val="-4"/>
        </w:rPr>
        <w:t> </w:t>
      </w:r>
      <w:r>
        <w:rPr/>
        <w:t>su</w:t>
      </w:r>
      <w:r>
        <w:rPr>
          <w:spacing w:val="-5"/>
        </w:rPr>
        <w:t> </w:t>
      </w:r>
      <w:r>
        <w:rPr/>
        <w:t>entorno</w:t>
      </w:r>
      <w:r>
        <w:rPr>
          <w:spacing w:val="-3"/>
        </w:rPr>
        <w:t> </w:t>
      </w:r>
      <w:r>
        <w:rPr/>
        <w:t>urbano</w:t>
      </w:r>
      <w:r>
        <w:rPr>
          <w:spacing w:val="-4"/>
        </w:rPr>
        <w:t> </w:t>
      </w:r>
      <w:r>
        <w:rPr/>
        <w:t>con</w:t>
      </w:r>
      <w:r>
        <w:rPr>
          <w:spacing w:val="-3"/>
        </w:rPr>
        <w:t> </w:t>
      </w:r>
      <w:r>
        <w:rPr/>
        <w:t>el</w:t>
      </w:r>
      <w:r>
        <w:rPr>
          <w:spacing w:val="-3"/>
        </w:rPr>
        <w:t> </w:t>
      </w:r>
      <w:r>
        <w:rPr/>
        <w:t>fin</w:t>
      </w:r>
      <w:r>
        <w:rPr>
          <w:spacing w:val="-4"/>
        </w:rPr>
        <w:t> </w:t>
      </w:r>
      <w:r>
        <w:rPr/>
        <w:t>de</w:t>
      </w:r>
      <w:r>
        <w:rPr>
          <w:spacing w:val="-5"/>
        </w:rPr>
        <w:t> </w:t>
      </w:r>
      <w:r>
        <w:rPr/>
        <w:t>posibilitar</w:t>
      </w:r>
      <w:r>
        <w:rPr>
          <w:spacing w:val="-2"/>
        </w:rPr>
        <w:t> </w:t>
      </w:r>
      <w:r>
        <w:rPr/>
        <w:t>la permeabilización</w:t>
      </w:r>
      <w:r>
        <w:rPr>
          <w:spacing w:val="-10"/>
        </w:rPr>
        <w:t> </w:t>
      </w:r>
      <w:r>
        <w:rPr/>
        <w:t>del</w:t>
      </w:r>
      <w:r>
        <w:rPr>
          <w:spacing w:val="-10"/>
        </w:rPr>
        <w:t> </w:t>
      </w:r>
      <w:r>
        <w:rPr/>
        <w:t>actual</w:t>
      </w:r>
      <w:r>
        <w:rPr>
          <w:spacing w:val="-11"/>
        </w:rPr>
        <w:t> </w:t>
      </w:r>
      <w:r>
        <w:rPr/>
        <w:t>trazado</w:t>
      </w:r>
      <w:r>
        <w:rPr>
          <w:spacing w:val="-10"/>
        </w:rPr>
        <w:t> </w:t>
      </w:r>
      <w:r>
        <w:rPr/>
        <w:t>y</w:t>
      </w:r>
      <w:r>
        <w:rPr>
          <w:spacing w:val="-13"/>
        </w:rPr>
        <w:t> </w:t>
      </w:r>
      <w:r>
        <w:rPr/>
        <w:t>liberar</w:t>
      </w:r>
      <w:r>
        <w:rPr>
          <w:spacing w:val="-10"/>
        </w:rPr>
        <w:t> </w:t>
      </w:r>
      <w:r>
        <w:rPr/>
        <w:t>el</w:t>
      </w:r>
      <w:r>
        <w:rPr>
          <w:spacing w:val="-10"/>
        </w:rPr>
        <w:t> </w:t>
      </w:r>
      <w:r>
        <w:rPr/>
        <w:t>suelo</w:t>
      </w:r>
      <w:r>
        <w:rPr>
          <w:spacing w:val="-9"/>
        </w:rPr>
        <w:t> </w:t>
      </w:r>
      <w:r>
        <w:rPr/>
        <w:t>necesario</w:t>
      </w:r>
      <w:r>
        <w:rPr>
          <w:spacing w:val="-9"/>
        </w:rPr>
        <w:t> </w:t>
      </w:r>
      <w:r>
        <w:rPr/>
        <w:t>para</w:t>
      </w:r>
      <w:r>
        <w:rPr>
          <w:spacing w:val="-10"/>
        </w:rPr>
        <w:t> </w:t>
      </w:r>
      <w:r>
        <w:rPr/>
        <w:t>la</w:t>
      </w:r>
      <w:r>
        <w:rPr>
          <w:spacing w:val="-10"/>
        </w:rPr>
        <w:t> </w:t>
      </w:r>
      <w:r>
        <w:rPr/>
        <w:t>realización</w:t>
      </w:r>
      <w:r>
        <w:rPr>
          <w:spacing w:val="-10"/>
        </w:rPr>
        <w:t> </w:t>
      </w:r>
      <w:r>
        <w:rPr/>
        <w:t>de</w:t>
      </w:r>
      <w:r>
        <w:rPr>
          <w:spacing w:val="-10"/>
        </w:rPr>
        <w:t> </w:t>
      </w:r>
      <w:r>
        <w:rPr/>
        <w:t>la</w:t>
      </w:r>
      <w:r>
        <w:rPr>
          <w:spacing w:val="-11"/>
        </w:rPr>
        <w:t> </w:t>
      </w:r>
      <w:r>
        <w:rPr/>
        <w:t>operación </w:t>
      </w:r>
      <w:r>
        <w:rPr>
          <w:spacing w:val="-2"/>
        </w:rPr>
        <w:t>urbanística.</w:t>
      </w:r>
    </w:p>
    <w:p>
      <w:pPr>
        <w:pStyle w:val="BodyText"/>
        <w:spacing w:line="247" w:lineRule="auto" w:before="122"/>
        <w:ind w:left="1430" w:right="841"/>
        <w:jc w:val="both"/>
      </w:pPr>
      <w:r>
        <w:rPr/>
        <w:t>Para ello se procederá a la integración del trazado ferroviario desde el núcleo urbano de Nonduermas</w:t>
      </w:r>
      <w:r>
        <w:rPr>
          <w:spacing w:val="-14"/>
        </w:rPr>
        <w:t> </w:t>
      </w:r>
      <w:r>
        <w:rPr/>
        <w:t>hasta</w:t>
      </w:r>
      <w:r>
        <w:rPr>
          <w:spacing w:val="-14"/>
        </w:rPr>
        <w:t> </w:t>
      </w:r>
      <w:r>
        <w:rPr/>
        <w:t>el</w:t>
      </w:r>
      <w:r>
        <w:rPr>
          <w:spacing w:val="-14"/>
        </w:rPr>
        <w:t> </w:t>
      </w:r>
      <w:r>
        <w:rPr/>
        <w:t>Paso</w:t>
      </w:r>
      <w:r>
        <w:rPr>
          <w:spacing w:val="-13"/>
        </w:rPr>
        <w:t> </w:t>
      </w:r>
      <w:r>
        <w:rPr/>
        <w:t>a</w:t>
      </w:r>
      <w:r>
        <w:rPr>
          <w:spacing w:val="-14"/>
        </w:rPr>
        <w:t> </w:t>
      </w:r>
      <w:r>
        <w:rPr/>
        <w:t>Nivel</w:t>
      </w:r>
      <w:r>
        <w:rPr>
          <w:spacing w:val="-14"/>
        </w:rPr>
        <w:t> </w:t>
      </w:r>
      <w:r>
        <w:rPr/>
        <w:t>de</w:t>
      </w:r>
      <w:r>
        <w:rPr>
          <w:spacing w:val="-14"/>
        </w:rPr>
        <w:t> </w:t>
      </w:r>
      <w:r>
        <w:rPr/>
        <w:t>Senda</w:t>
      </w:r>
      <w:r>
        <w:rPr>
          <w:spacing w:val="-13"/>
        </w:rPr>
        <w:t> </w:t>
      </w:r>
      <w:r>
        <w:rPr/>
        <w:t>de</w:t>
      </w:r>
      <w:r>
        <w:rPr>
          <w:spacing w:val="-14"/>
        </w:rPr>
        <w:t> </w:t>
      </w:r>
      <w:r>
        <w:rPr/>
        <w:t>los</w:t>
      </w:r>
      <w:r>
        <w:rPr>
          <w:spacing w:val="-14"/>
        </w:rPr>
        <w:t> </w:t>
      </w:r>
      <w:r>
        <w:rPr/>
        <w:t>Garres,</w:t>
      </w:r>
      <w:r>
        <w:rPr>
          <w:spacing w:val="-13"/>
        </w:rPr>
        <w:t> </w:t>
      </w:r>
      <w:r>
        <w:rPr/>
        <w:t>en</w:t>
      </w:r>
      <w:r>
        <w:rPr>
          <w:spacing w:val="-14"/>
        </w:rPr>
        <w:t> </w:t>
      </w:r>
      <w:r>
        <w:rPr/>
        <w:t>un</w:t>
      </w:r>
      <w:r>
        <w:rPr>
          <w:spacing w:val="-14"/>
        </w:rPr>
        <w:t> </w:t>
      </w:r>
      <w:r>
        <w:rPr/>
        <w:t>ámbito</w:t>
      </w:r>
      <w:r>
        <w:rPr>
          <w:spacing w:val="-11"/>
        </w:rPr>
        <w:t> </w:t>
      </w:r>
      <w:r>
        <w:rPr/>
        <w:t>total</w:t>
      </w:r>
      <w:r>
        <w:rPr>
          <w:spacing w:val="-13"/>
        </w:rPr>
        <w:t> </w:t>
      </w:r>
      <w:r>
        <w:rPr/>
        <w:t>de</w:t>
      </w:r>
      <w:r>
        <w:rPr>
          <w:spacing w:val="-14"/>
        </w:rPr>
        <w:t> </w:t>
      </w:r>
      <w:r>
        <w:rPr/>
        <w:t>aproximadamente 7,04 km, incluyendo rampas.</w:t>
      </w:r>
    </w:p>
    <w:p>
      <w:pPr>
        <w:pStyle w:val="BodyText"/>
        <w:spacing w:after="0" w:line="247" w:lineRule="auto"/>
        <w:jc w:val="both"/>
        <w:sectPr>
          <w:pgSz w:w="11910" w:h="16840"/>
          <w:pgMar w:header="694" w:footer="690" w:top="1920" w:bottom="880" w:left="708" w:right="425"/>
        </w:sectPr>
      </w:pPr>
    </w:p>
    <w:p>
      <w:pPr>
        <w:pStyle w:val="ListParagraph"/>
        <w:numPr>
          <w:ilvl w:val="0"/>
          <w:numId w:val="3"/>
        </w:numPr>
        <w:tabs>
          <w:tab w:pos="1430" w:val="left" w:leader="none"/>
        </w:tabs>
        <w:spacing w:line="247" w:lineRule="auto" w:before="187" w:after="0"/>
        <w:ind w:left="1430" w:right="838" w:hanging="360"/>
        <w:jc w:val="both"/>
        <w:rPr>
          <w:sz w:val="22"/>
        </w:rPr>
      </w:pPr>
      <w:r>
        <w:rPr>
          <w:sz w:val="22"/>
        </w:rPr>
        <w:t>Sustitución</w:t>
      </w:r>
      <w:r>
        <w:rPr>
          <w:spacing w:val="-12"/>
          <w:sz w:val="22"/>
        </w:rPr>
        <w:t> </w:t>
      </w:r>
      <w:r>
        <w:rPr>
          <w:sz w:val="22"/>
        </w:rPr>
        <w:t>de</w:t>
      </w:r>
      <w:r>
        <w:rPr>
          <w:spacing w:val="-12"/>
          <w:sz w:val="22"/>
        </w:rPr>
        <w:t> </w:t>
      </w:r>
      <w:r>
        <w:rPr>
          <w:sz w:val="22"/>
        </w:rPr>
        <w:t>la</w:t>
      </w:r>
      <w:r>
        <w:rPr>
          <w:spacing w:val="-11"/>
          <w:sz w:val="22"/>
        </w:rPr>
        <w:t> </w:t>
      </w:r>
      <w:r>
        <w:rPr>
          <w:sz w:val="22"/>
        </w:rPr>
        <w:t>actual</w:t>
      </w:r>
      <w:r>
        <w:rPr>
          <w:spacing w:val="-12"/>
          <w:sz w:val="22"/>
        </w:rPr>
        <w:t> </w:t>
      </w:r>
      <w:r>
        <w:rPr>
          <w:sz w:val="22"/>
        </w:rPr>
        <w:t>estación</w:t>
      </w:r>
      <w:r>
        <w:rPr>
          <w:spacing w:val="-12"/>
          <w:sz w:val="22"/>
        </w:rPr>
        <w:t> </w:t>
      </w:r>
      <w:r>
        <w:rPr>
          <w:sz w:val="22"/>
        </w:rPr>
        <w:t>de</w:t>
      </w:r>
      <w:r>
        <w:rPr>
          <w:spacing w:val="-12"/>
          <w:sz w:val="22"/>
        </w:rPr>
        <w:t> </w:t>
      </w:r>
      <w:r>
        <w:rPr>
          <w:sz w:val="22"/>
        </w:rPr>
        <w:t>Murcia</w:t>
      </w:r>
      <w:r>
        <w:rPr>
          <w:spacing w:val="-11"/>
          <w:sz w:val="22"/>
        </w:rPr>
        <w:t> </w:t>
      </w:r>
      <w:r>
        <w:rPr>
          <w:sz w:val="22"/>
        </w:rPr>
        <w:t>–</w:t>
      </w:r>
      <w:r>
        <w:rPr>
          <w:spacing w:val="-12"/>
          <w:sz w:val="22"/>
        </w:rPr>
        <w:t> </w:t>
      </w:r>
      <w:r>
        <w:rPr>
          <w:sz w:val="22"/>
        </w:rPr>
        <w:t>El</w:t>
      </w:r>
      <w:r>
        <w:rPr>
          <w:spacing w:val="-12"/>
          <w:sz w:val="22"/>
        </w:rPr>
        <w:t> </w:t>
      </w:r>
      <w:r>
        <w:rPr>
          <w:sz w:val="22"/>
        </w:rPr>
        <w:t>Carmen</w:t>
      </w:r>
      <w:r>
        <w:rPr>
          <w:spacing w:val="-12"/>
          <w:sz w:val="22"/>
        </w:rPr>
        <w:t> </w:t>
      </w:r>
      <w:r>
        <w:rPr>
          <w:sz w:val="22"/>
        </w:rPr>
        <w:t>por</w:t>
      </w:r>
      <w:r>
        <w:rPr>
          <w:spacing w:val="-12"/>
          <w:sz w:val="22"/>
        </w:rPr>
        <w:t> </w:t>
      </w:r>
      <w:r>
        <w:rPr>
          <w:sz w:val="22"/>
        </w:rPr>
        <w:t>una</w:t>
      </w:r>
      <w:r>
        <w:rPr>
          <w:spacing w:val="-12"/>
          <w:sz w:val="22"/>
        </w:rPr>
        <w:t> </w:t>
      </w:r>
      <w:r>
        <w:rPr>
          <w:sz w:val="22"/>
        </w:rPr>
        <w:t>estación</w:t>
      </w:r>
      <w:r>
        <w:rPr>
          <w:spacing w:val="-12"/>
          <w:sz w:val="22"/>
        </w:rPr>
        <w:t> </w:t>
      </w:r>
      <w:r>
        <w:rPr>
          <w:sz w:val="22"/>
        </w:rPr>
        <w:t>intermodal</w:t>
      </w:r>
      <w:r>
        <w:rPr>
          <w:spacing w:val="-11"/>
          <w:sz w:val="22"/>
        </w:rPr>
        <w:t> </w:t>
      </w:r>
      <w:r>
        <w:rPr>
          <w:sz w:val="22"/>
        </w:rPr>
        <w:t>de</w:t>
      </w:r>
      <w:r>
        <w:rPr>
          <w:spacing w:val="-12"/>
          <w:sz w:val="22"/>
        </w:rPr>
        <w:t> </w:t>
      </w:r>
      <w:r>
        <w:rPr>
          <w:sz w:val="22"/>
        </w:rPr>
        <w:t>transporte </w:t>
      </w:r>
      <w:r>
        <w:rPr>
          <w:spacing w:val="-2"/>
          <w:sz w:val="22"/>
        </w:rPr>
        <w:t>capaz</w:t>
      </w:r>
      <w:r>
        <w:rPr>
          <w:spacing w:val="-4"/>
          <w:sz w:val="22"/>
        </w:rPr>
        <w:t> </w:t>
      </w:r>
      <w:r>
        <w:rPr>
          <w:spacing w:val="-2"/>
          <w:sz w:val="22"/>
        </w:rPr>
        <w:t>de</w:t>
      </w:r>
      <w:r>
        <w:rPr>
          <w:spacing w:val="-4"/>
          <w:sz w:val="22"/>
        </w:rPr>
        <w:t> </w:t>
      </w:r>
      <w:r>
        <w:rPr>
          <w:spacing w:val="-2"/>
          <w:sz w:val="22"/>
        </w:rPr>
        <w:t>entender</w:t>
      </w:r>
      <w:r>
        <w:rPr>
          <w:spacing w:val="-3"/>
          <w:sz w:val="22"/>
        </w:rPr>
        <w:t> </w:t>
      </w:r>
      <w:r>
        <w:rPr>
          <w:spacing w:val="-2"/>
          <w:sz w:val="22"/>
        </w:rPr>
        <w:t>en</w:t>
      </w:r>
      <w:r>
        <w:rPr>
          <w:spacing w:val="-3"/>
          <w:sz w:val="22"/>
        </w:rPr>
        <w:t> </w:t>
      </w:r>
      <w:r>
        <w:rPr>
          <w:spacing w:val="-2"/>
          <w:sz w:val="22"/>
        </w:rPr>
        <w:t>condiciones</w:t>
      </w:r>
      <w:r>
        <w:rPr>
          <w:spacing w:val="-3"/>
          <w:sz w:val="22"/>
        </w:rPr>
        <w:t> </w:t>
      </w:r>
      <w:r>
        <w:rPr>
          <w:spacing w:val="-2"/>
          <w:sz w:val="22"/>
        </w:rPr>
        <w:t>adecuadas</w:t>
      </w:r>
      <w:r>
        <w:rPr>
          <w:spacing w:val="-3"/>
          <w:sz w:val="22"/>
        </w:rPr>
        <w:t> </w:t>
      </w:r>
      <w:r>
        <w:rPr>
          <w:spacing w:val="-2"/>
          <w:sz w:val="22"/>
        </w:rPr>
        <w:t>el</w:t>
      </w:r>
      <w:r>
        <w:rPr>
          <w:spacing w:val="-4"/>
          <w:sz w:val="22"/>
        </w:rPr>
        <w:t> </w:t>
      </w:r>
      <w:r>
        <w:rPr>
          <w:spacing w:val="-2"/>
          <w:sz w:val="22"/>
        </w:rPr>
        <w:t>previsible</w:t>
      </w:r>
      <w:r>
        <w:rPr>
          <w:spacing w:val="-4"/>
          <w:sz w:val="22"/>
        </w:rPr>
        <w:t> </w:t>
      </w:r>
      <w:r>
        <w:rPr>
          <w:spacing w:val="-2"/>
          <w:sz w:val="22"/>
        </w:rPr>
        <w:t>crecimiento</w:t>
      </w:r>
      <w:r>
        <w:rPr>
          <w:spacing w:val="-3"/>
          <w:sz w:val="22"/>
        </w:rPr>
        <w:t> </w:t>
      </w:r>
      <w:r>
        <w:rPr>
          <w:spacing w:val="-2"/>
          <w:sz w:val="22"/>
        </w:rPr>
        <w:t>de</w:t>
      </w:r>
      <w:r>
        <w:rPr>
          <w:spacing w:val="-4"/>
          <w:sz w:val="22"/>
        </w:rPr>
        <w:t> </w:t>
      </w:r>
      <w:r>
        <w:rPr>
          <w:spacing w:val="-2"/>
          <w:sz w:val="22"/>
        </w:rPr>
        <w:t>los</w:t>
      </w:r>
      <w:r>
        <w:rPr>
          <w:spacing w:val="-4"/>
          <w:sz w:val="22"/>
        </w:rPr>
        <w:t> </w:t>
      </w:r>
      <w:r>
        <w:rPr>
          <w:spacing w:val="-2"/>
          <w:sz w:val="22"/>
        </w:rPr>
        <w:t>servicios</w:t>
      </w:r>
      <w:r>
        <w:rPr>
          <w:spacing w:val="-5"/>
          <w:sz w:val="22"/>
        </w:rPr>
        <w:t> </w:t>
      </w:r>
      <w:r>
        <w:rPr>
          <w:spacing w:val="-2"/>
          <w:sz w:val="22"/>
        </w:rPr>
        <w:t>ferroviarios, </w:t>
      </w:r>
      <w:r>
        <w:rPr>
          <w:sz w:val="22"/>
        </w:rPr>
        <w:t>teniendo en cuenta la integración de la traza ferroviaria en la zona de la propia estación.</w:t>
      </w:r>
    </w:p>
    <w:p>
      <w:pPr>
        <w:pStyle w:val="ListParagraph"/>
        <w:numPr>
          <w:ilvl w:val="0"/>
          <w:numId w:val="3"/>
        </w:numPr>
        <w:tabs>
          <w:tab w:pos="1430" w:val="left" w:leader="none"/>
        </w:tabs>
        <w:spacing w:line="247" w:lineRule="auto" w:before="218" w:after="0"/>
        <w:ind w:left="1430" w:right="839" w:hanging="360"/>
        <w:jc w:val="both"/>
        <w:rPr>
          <w:sz w:val="22"/>
        </w:rPr>
      </w:pPr>
      <w:r>
        <w:rPr>
          <w:sz w:val="22"/>
        </w:rPr>
        <w:t>Potenciación de la intermodalidad de la futura estación de Murcia - El Carmen mediante la ejecución</w:t>
      </w:r>
      <w:r>
        <w:rPr>
          <w:spacing w:val="-9"/>
          <w:sz w:val="22"/>
        </w:rPr>
        <w:t> </w:t>
      </w:r>
      <w:r>
        <w:rPr>
          <w:sz w:val="22"/>
        </w:rPr>
        <w:t>de</w:t>
      </w:r>
      <w:r>
        <w:rPr>
          <w:spacing w:val="-10"/>
          <w:sz w:val="22"/>
        </w:rPr>
        <w:t> </w:t>
      </w:r>
      <w:r>
        <w:rPr>
          <w:sz w:val="22"/>
        </w:rPr>
        <w:t>una</w:t>
      </w:r>
      <w:r>
        <w:rPr>
          <w:spacing w:val="-10"/>
          <w:sz w:val="22"/>
        </w:rPr>
        <w:t> </w:t>
      </w:r>
      <w:r>
        <w:rPr>
          <w:sz w:val="22"/>
        </w:rPr>
        <w:t>estación</w:t>
      </w:r>
      <w:r>
        <w:rPr>
          <w:spacing w:val="-8"/>
          <w:sz w:val="22"/>
        </w:rPr>
        <w:t> </w:t>
      </w:r>
      <w:r>
        <w:rPr>
          <w:sz w:val="22"/>
        </w:rPr>
        <w:t>de</w:t>
      </w:r>
      <w:r>
        <w:rPr>
          <w:spacing w:val="-10"/>
          <w:sz w:val="22"/>
        </w:rPr>
        <w:t> </w:t>
      </w:r>
      <w:r>
        <w:rPr>
          <w:sz w:val="22"/>
        </w:rPr>
        <w:t>autobuses</w:t>
      </w:r>
      <w:r>
        <w:rPr>
          <w:spacing w:val="-9"/>
          <w:sz w:val="22"/>
        </w:rPr>
        <w:t> </w:t>
      </w:r>
      <w:r>
        <w:rPr>
          <w:sz w:val="22"/>
        </w:rPr>
        <w:t>ubicada</w:t>
      </w:r>
      <w:r>
        <w:rPr>
          <w:spacing w:val="-9"/>
          <w:sz w:val="22"/>
        </w:rPr>
        <w:t> </w:t>
      </w:r>
      <w:r>
        <w:rPr>
          <w:sz w:val="22"/>
        </w:rPr>
        <w:t>en</w:t>
      </w:r>
      <w:r>
        <w:rPr>
          <w:spacing w:val="-9"/>
          <w:sz w:val="22"/>
        </w:rPr>
        <w:t> </w:t>
      </w:r>
      <w:r>
        <w:rPr>
          <w:sz w:val="22"/>
        </w:rPr>
        <w:t>las</w:t>
      </w:r>
      <w:r>
        <w:rPr>
          <w:spacing w:val="-11"/>
          <w:sz w:val="22"/>
        </w:rPr>
        <w:t> </w:t>
      </w:r>
      <w:r>
        <w:rPr>
          <w:sz w:val="22"/>
        </w:rPr>
        <w:t>inmediaciones</w:t>
      </w:r>
      <w:r>
        <w:rPr>
          <w:spacing w:val="-9"/>
          <w:sz w:val="22"/>
        </w:rPr>
        <w:t> </w:t>
      </w:r>
      <w:r>
        <w:rPr>
          <w:sz w:val="22"/>
        </w:rPr>
        <w:t>de</w:t>
      </w:r>
      <w:r>
        <w:rPr>
          <w:spacing w:val="-9"/>
          <w:sz w:val="22"/>
        </w:rPr>
        <w:t> </w:t>
      </w:r>
      <w:r>
        <w:rPr>
          <w:sz w:val="22"/>
        </w:rPr>
        <w:t>la</w:t>
      </w:r>
      <w:r>
        <w:rPr>
          <w:spacing w:val="-8"/>
          <w:sz w:val="22"/>
        </w:rPr>
        <w:t> </w:t>
      </w:r>
      <w:r>
        <w:rPr>
          <w:sz w:val="22"/>
        </w:rPr>
        <w:t>estación</w:t>
      </w:r>
      <w:r>
        <w:rPr>
          <w:spacing w:val="-10"/>
          <w:sz w:val="22"/>
        </w:rPr>
        <w:t> </w:t>
      </w:r>
      <w:r>
        <w:rPr>
          <w:sz w:val="22"/>
        </w:rPr>
        <w:t>del</w:t>
      </w:r>
      <w:r>
        <w:rPr>
          <w:spacing w:val="-8"/>
          <w:sz w:val="22"/>
        </w:rPr>
        <w:t> </w:t>
      </w:r>
      <w:r>
        <w:rPr>
          <w:sz w:val="22"/>
        </w:rPr>
        <w:t>ferrocarril que podrá ubicar su programa sobre rasante, compartiendo parcela con el aparcamiento subterráneo de la estación de ferrocarril. Los elementos específicos de la terminal de autobuses serán adecuadamente diferenciados en la redacción del proyecto de la estación de autobuses, quedando fuera del ámbito de la Adenda Modificativa del Convenio de 2006.</w:t>
      </w:r>
    </w:p>
    <w:p>
      <w:pPr>
        <w:pStyle w:val="ListParagraph"/>
        <w:numPr>
          <w:ilvl w:val="0"/>
          <w:numId w:val="3"/>
        </w:numPr>
        <w:tabs>
          <w:tab w:pos="1430" w:val="left" w:leader="none"/>
        </w:tabs>
        <w:spacing w:line="247" w:lineRule="auto" w:before="98" w:after="0"/>
        <w:ind w:left="1430" w:right="839" w:hanging="360"/>
        <w:jc w:val="both"/>
        <w:rPr>
          <w:sz w:val="22"/>
        </w:rPr>
      </w:pPr>
      <w:r>
        <w:rPr>
          <w:spacing w:val="-2"/>
          <w:sz w:val="22"/>
        </w:rPr>
        <w:t>Realización</w:t>
      </w:r>
      <w:r>
        <w:rPr>
          <w:spacing w:val="-3"/>
          <w:sz w:val="22"/>
        </w:rPr>
        <w:t> </w:t>
      </w:r>
      <w:r>
        <w:rPr>
          <w:spacing w:val="-2"/>
          <w:sz w:val="22"/>
        </w:rPr>
        <w:t>de</w:t>
      </w:r>
      <w:r>
        <w:rPr>
          <w:spacing w:val="-4"/>
          <w:sz w:val="22"/>
        </w:rPr>
        <w:t> </w:t>
      </w:r>
      <w:r>
        <w:rPr>
          <w:spacing w:val="-2"/>
          <w:sz w:val="22"/>
        </w:rPr>
        <w:t>las</w:t>
      </w:r>
      <w:r>
        <w:rPr>
          <w:spacing w:val="-4"/>
          <w:sz w:val="22"/>
        </w:rPr>
        <w:t> </w:t>
      </w:r>
      <w:r>
        <w:rPr>
          <w:spacing w:val="-2"/>
          <w:sz w:val="22"/>
        </w:rPr>
        <w:t>actuaciones</w:t>
      </w:r>
      <w:r>
        <w:rPr>
          <w:spacing w:val="-4"/>
          <w:sz w:val="22"/>
        </w:rPr>
        <w:t> </w:t>
      </w:r>
      <w:r>
        <w:rPr>
          <w:spacing w:val="-2"/>
          <w:sz w:val="22"/>
        </w:rPr>
        <w:t>de</w:t>
      </w:r>
      <w:r>
        <w:rPr>
          <w:spacing w:val="-4"/>
          <w:sz w:val="22"/>
        </w:rPr>
        <w:t> </w:t>
      </w:r>
      <w:r>
        <w:rPr>
          <w:spacing w:val="-2"/>
          <w:sz w:val="22"/>
        </w:rPr>
        <w:t>planeamiento,</w:t>
      </w:r>
      <w:r>
        <w:rPr>
          <w:spacing w:val="-4"/>
          <w:sz w:val="22"/>
        </w:rPr>
        <w:t> </w:t>
      </w:r>
      <w:r>
        <w:rPr>
          <w:spacing w:val="-2"/>
          <w:sz w:val="22"/>
        </w:rPr>
        <w:t>diseño</w:t>
      </w:r>
      <w:r>
        <w:rPr>
          <w:spacing w:val="-4"/>
          <w:sz w:val="22"/>
        </w:rPr>
        <w:t> </w:t>
      </w:r>
      <w:r>
        <w:rPr>
          <w:spacing w:val="-2"/>
          <w:sz w:val="22"/>
        </w:rPr>
        <w:t>y</w:t>
      </w:r>
      <w:r>
        <w:rPr>
          <w:spacing w:val="-3"/>
          <w:sz w:val="22"/>
        </w:rPr>
        <w:t> </w:t>
      </w:r>
      <w:r>
        <w:rPr>
          <w:spacing w:val="-2"/>
          <w:sz w:val="22"/>
        </w:rPr>
        <w:t>ejecución</w:t>
      </w:r>
      <w:r>
        <w:rPr>
          <w:spacing w:val="-3"/>
          <w:sz w:val="22"/>
        </w:rPr>
        <w:t> </w:t>
      </w:r>
      <w:r>
        <w:rPr>
          <w:spacing w:val="-2"/>
          <w:sz w:val="22"/>
        </w:rPr>
        <w:t>de</w:t>
      </w:r>
      <w:r>
        <w:rPr>
          <w:spacing w:val="-4"/>
          <w:sz w:val="22"/>
        </w:rPr>
        <w:t> </w:t>
      </w:r>
      <w:r>
        <w:rPr>
          <w:spacing w:val="-2"/>
          <w:sz w:val="22"/>
        </w:rPr>
        <w:t>la actuación</w:t>
      </w:r>
      <w:r>
        <w:rPr>
          <w:spacing w:val="-8"/>
          <w:sz w:val="22"/>
        </w:rPr>
        <w:t> </w:t>
      </w:r>
      <w:r>
        <w:rPr>
          <w:spacing w:val="-2"/>
          <w:sz w:val="22"/>
        </w:rPr>
        <w:t>urbanística, así </w:t>
      </w:r>
      <w:r>
        <w:rPr>
          <w:sz w:val="22"/>
        </w:rPr>
        <w:t>como</w:t>
      </w:r>
      <w:r>
        <w:rPr>
          <w:spacing w:val="-11"/>
          <w:sz w:val="22"/>
        </w:rPr>
        <w:t> </w:t>
      </w:r>
      <w:r>
        <w:rPr>
          <w:sz w:val="22"/>
        </w:rPr>
        <w:t>su</w:t>
      </w:r>
      <w:r>
        <w:rPr>
          <w:spacing w:val="-12"/>
          <w:sz w:val="22"/>
        </w:rPr>
        <w:t> </w:t>
      </w:r>
      <w:r>
        <w:rPr>
          <w:sz w:val="22"/>
        </w:rPr>
        <w:t>evaluación</w:t>
      </w:r>
      <w:r>
        <w:rPr>
          <w:spacing w:val="-10"/>
          <w:sz w:val="22"/>
        </w:rPr>
        <w:t> </w:t>
      </w:r>
      <w:r>
        <w:rPr>
          <w:sz w:val="22"/>
        </w:rPr>
        <w:t>económica-financiera,</w:t>
      </w:r>
      <w:r>
        <w:rPr>
          <w:spacing w:val="-12"/>
          <w:sz w:val="22"/>
        </w:rPr>
        <w:t> </w:t>
      </w:r>
      <w:r>
        <w:rPr>
          <w:sz w:val="22"/>
        </w:rPr>
        <w:t>de</w:t>
      </w:r>
      <w:r>
        <w:rPr>
          <w:spacing w:val="-12"/>
          <w:sz w:val="22"/>
        </w:rPr>
        <w:t> </w:t>
      </w:r>
      <w:r>
        <w:rPr>
          <w:sz w:val="22"/>
        </w:rPr>
        <w:t>forma</w:t>
      </w:r>
      <w:r>
        <w:rPr>
          <w:spacing w:val="-12"/>
          <w:sz w:val="22"/>
        </w:rPr>
        <w:t> </w:t>
      </w:r>
      <w:r>
        <w:rPr>
          <w:sz w:val="22"/>
        </w:rPr>
        <w:t>que</w:t>
      </w:r>
      <w:r>
        <w:rPr>
          <w:spacing w:val="-12"/>
          <w:sz w:val="22"/>
        </w:rPr>
        <w:t> </w:t>
      </w:r>
      <w:r>
        <w:rPr>
          <w:sz w:val="22"/>
        </w:rPr>
        <w:t>se</w:t>
      </w:r>
      <w:r>
        <w:rPr>
          <w:spacing w:val="-12"/>
          <w:sz w:val="22"/>
        </w:rPr>
        <w:t> </w:t>
      </w:r>
      <w:r>
        <w:rPr>
          <w:sz w:val="22"/>
        </w:rPr>
        <w:t>conjuguen</w:t>
      </w:r>
      <w:r>
        <w:rPr>
          <w:spacing w:val="-11"/>
          <w:sz w:val="22"/>
        </w:rPr>
        <w:t> </w:t>
      </w:r>
      <w:r>
        <w:rPr>
          <w:sz w:val="22"/>
        </w:rPr>
        <w:t>los</w:t>
      </w:r>
      <w:r>
        <w:rPr>
          <w:spacing w:val="-11"/>
          <w:sz w:val="22"/>
        </w:rPr>
        <w:t> </w:t>
      </w:r>
      <w:r>
        <w:rPr>
          <w:sz w:val="22"/>
        </w:rPr>
        <w:t>objetivos</w:t>
      </w:r>
      <w:r>
        <w:rPr>
          <w:spacing w:val="-11"/>
          <w:sz w:val="22"/>
        </w:rPr>
        <w:t> </w:t>
      </w:r>
      <w:r>
        <w:rPr>
          <w:sz w:val="22"/>
        </w:rPr>
        <w:t>de</w:t>
      </w:r>
      <w:r>
        <w:rPr>
          <w:spacing w:val="-12"/>
          <w:sz w:val="22"/>
        </w:rPr>
        <w:t> </w:t>
      </w:r>
      <w:r>
        <w:rPr>
          <w:sz w:val="22"/>
        </w:rPr>
        <w:t>mejora</w:t>
      </w:r>
      <w:r>
        <w:rPr>
          <w:spacing w:val="-10"/>
          <w:sz w:val="22"/>
        </w:rPr>
        <w:t> </w:t>
      </w:r>
      <w:r>
        <w:rPr>
          <w:sz w:val="22"/>
        </w:rPr>
        <w:t>del espacio urbano con el aprovechamiento de las plusvalías generadas por la futura venta de los </w:t>
      </w:r>
      <w:r>
        <w:rPr>
          <w:spacing w:val="-2"/>
          <w:sz w:val="22"/>
        </w:rPr>
        <w:t>suelos.</w:t>
      </w:r>
    </w:p>
    <w:p>
      <w:pPr>
        <w:pStyle w:val="BodyText"/>
      </w:pPr>
    </w:p>
    <w:p>
      <w:pPr>
        <w:pStyle w:val="BodyText"/>
        <w:spacing w:line="247" w:lineRule="auto"/>
        <w:ind w:left="995" w:right="845"/>
        <w:jc w:val="both"/>
      </w:pPr>
      <w:r>
        <w:rPr/>
        <w:t>Conforme se ha indicado anteriormente, el 17 de mayo de 2019 se suscribió la Adenda Modificativa del Convenio entre el Administrador de Infraestructuras Ferroviarias, Adif-Alta Velocidad, el Ministerio</w:t>
      </w:r>
      <w:r>
        <w:rPr>
          <w:spacing w:val="-14"/>
        </w:rPr>
        <w:t> </w:t>
      </w:r>
      <w:r>
        <w:rPr/>
        <w:t>de</w:t>
      </w:r>
      <w:r>
        <w:rPr>
          <w:spacing w:val="-14"/>
        </w:rPr>
        <w:t> </w:t>
      </w:r>
      <w:r>
        <w:rPr/>
        <w:t>Fomento</w:t>
      </w:r>
      <w:r>
        <w:rPr>
          <w:spacing w:val="-14"/>
        </w:rPr>
        <w:t> </w:t>
      </w:r>
      <w:r>
        <w:rPr/>
        <w:t>(actualmente</w:t>
      </w:r>
      <w:r>
        <w:rPr>
          <w:spacing w:val="-13"/>
        </w:rPr>
        <w:t> </w:t>
      </w:r>
      <w:r>
        <w:rPr/>
        <w:t>Ministerio</w:t>
      </w:r>
      <w:r>
        <w:rPr>
          <w:spacing w:val="-14"/>
        </w:rPr>
        <w:t> </w:t>
      </w:r>
      <w:r>
        <w:rPr/>
        <w:t>de</w:t>
      </w:r>
      <w:r>
        <w:rPr>
          <w:spacing w:val="-14"/>
        </w:rPr>
        <w:t> </w:t>
      </w:r>
      <w:r>
        <w:rPr/>
        <w:t>Transportes</w:t>
      </w:r>
      <w:r>
        <w:rPr>
          <w:spacing w:val="-14"/>
        </w:rPr>
        <w:t> </w:t>
      </w:r>
      <w:r>
        <w:rPr/>
        <w:t>y</w:t>
      </w:r>
      <w:r>
        <w:rPr>
          <w:spacing w:val="-13"/>
        </w:rPr>
        <w:t> </w:t>
      </w:r>
      <w:r>
        <w:rPr/>
        <w:t>Movilidad</w:t>
      </w:r>
      <w:r>
        <w:rPr>
          <w:spacing w:val="-14"/>
        </w:rPr>
        <w:t> </w:t>
      </w:r>
      <w:r>
        <w:rPr/>
        <w:t>Sostenible),</w:t>
      </w:r>
      <w:r>
        <w:rPr>
          <w:spacing w:val="-14"/>
        </w:rPr>
        <w:t> </w:t>
      </w:r>
      <w:r>
        <w:rPr/>
        <w:t>la</w:t>
      </w:r>
      <w:r>
        <w:rPr>
          <w:spacing w:val="-14"/>
        </w:rPr>
        <w:t> </w:t>
      </w:r>
      <w:r>
        <w:rPr/>
        <w:t>Comunidad Autónoma de la Región de Murcia, el Ayuntamiento de Murcia y Murcia Alta Velocidad, para la financiación de la integración del ferrocarril en la ciudad de Murcia (BOE n.º124 de 24 de mayo de </w:t>
      </w:r>
      <w:r>
        <w:rPr>
          <w:spacing w:val="-2"/>
        </w:rPr>
        <w:t>2019).</w:t>
      </w:r>
    </w:p>
    <w:p>
      <w:pPr>
        <w:pStyle w:val="BodyText"/>
        <w:spacing w:before="6"/>
      </w:pPr>
    </w:p>
    <w:p>
      <w:pPr>
        <w:pStyle w:val="BodyText"/>
        <w:spacing w:line="247" w:lineRule="auto"/>
        <w:ind w:left="995" w:right="845"/>
        <w:jc w:val="both"/>
      </w:pPr>
      <w:r>
        <w:rPr/>
        <w:t>La</w:t>
      </w:r>
      <w:r>
        <w:rPr>
          <w:spacing w:val="-6"/>
        </w:rPr>
        <w:t> </w:t>
      </w:r>
      <w:r>
        <w:rPr/>
        <w:t>finalidad</w:t>
      </w:r>
      <w:r>
        <w:rPr>
          <w:spacing w:val="-5"/>
        </w:rPr>
        <w:t> </w:t>
      </w:r>
      <w:r>
        <w:rPr/>
        <w:t>de</w:t>
      </w:r>
      <w:r>
        <w:rPr>
          <w:spacing w:val="-5"/>
        </w:rPr>
        <w:t> </w:t>
      </w:r>
      <w:r>
        <w:rPr/>
        <w:t>la</w:t>
      </w:r>
      <w:r>
        <w:rPr>
          <w:spacing w:val="-6"/>
        </w:rPr>
        <w:t> </w:t>
      </w:r>
      <w:r>
        <w:rPr/>
        <w:t>Adenda</w:t>
      </w:r>
      <w:r>
        <w:rPr>
          <w:spacing w:val="-5"/>
        </w:rPr>
        <w:t> </w:t>
      </w:r>
      <w:r>
        <w:rPr/>
        <w:t>Modificativa</w:t>
      </w:r>
      <w:r>
        <w:rPr>
          <w:spacing w:val="-6"/>
        </w:rPr>
        <w:t> </w:t>
      </w:r>
      <w:r>
        <w:rPr/>
        <w:t>es</w:t>
      </w:r>
      <w:r>
        <w:rPr>
          <w:spacing w:val="-6"/>
        </w:rPr>
        <w:t> </w:t>
      </w:r>
      <w:r>
        <w:rPr/>
        <w:t>el</w:t>
      </w:r>
      <w:r>
        <w:rPr>
          <w:spacing w:val="-6"/>
        </w:rPr>
        <w:t> </w:t>
      </w:r>
      <w:r>
        <w:rPr/>
        <w:t>establecimiento</w:t>
      </w:r>
      <w:r>
        <w:rPr>
          <w:spacing w:val="-5"/>
        </w:rPr>
        <w:t> </w:t>
      </w:r>
      <w:r>
        <w:rPr/>
        <w:t>de</w:t>
      </w:r>
      <w:r>
        <w:rPr>
          <w:spacing w:val="-5"/>
        </w:rPr>
        <w:t> </w:t>
      </w:r>
      <w:r>
        <w:rPr/>
        <w:t>los</w:t>
      </w:r>
      <w:r>
        <w:rPr>
          <w:spacing w:val="-6"/>
        </w:rPr>
        <w:t> </w:t>
      </w:r>
      <w:r>
        <w:rPr/>
        <w:t>mecanismos</w:t>
      </w:r>
      <w:r>
        <w:rPr>
          <w:spacing w:val="-4"/>
        </w:rPr>
        <w:t> </w:t>
      </w:r>
      <w:r>
        <w:rPr/>
        <w:t>de</w:t>
      </w:r>
      <w:r>
        <w:rPr>
          <w:spacing w:val="-5"/>
        </w:rPr>
        <w:t> </w:t>
      </w:r>
      <w:r>
        <w:rPr/>
        <w:t>colaboración</w:t>
      </w:r>
      <w:r>
        <w:rPr>
          <w:spacing w:val="-5"/>
        </w:rPr>
        <w:t> </w:t>
      </w:r>
      <w:r>
        <w:rPr/>
        <w:t>para establecer un nuevo planteamiento económico-financiero de gestión compartida entre los accionistas basada en una programación presupuestaria que cada accionista debe materializar en su propio escenario</w:t>
      </w:r>
      <w:r>
        <w:rPr>
          <w:spacing w:val="-5"/>
        </w:rPr>
        <w:t> </w:t>
      </w:r>
      <w:r>
        <w:rPr/>
        <w:t>presupuestario</w:t>
      </w:r>
      <w:r>
        <w:rPr>
          <w:spacing w:val="-5"/>
        </w:rPr>
        <w:t> </w:t>
      </w:r>
      <w:r>
        <w:rPr/>
        <w:t>plurianual,</w:t>
      </w:r>
      <w:r>
        <w:rPr>
          <w:spacing w:val="-5"/>
        </w:rPr>
        <w:t> </w:t>
      </w:r>
      <w:r>
        <w:rPr/>
        <w:t>debiéndose</w:t>
      </w:r>
      <w:r>
        <w:rPr>
          <w:spacing w:val="-5"/>
        </w:rPr>
        <w:t> </w:t>
      </w:r>
      <w:r>
        <w:rPr/>
        <w:t>ajustar</w:t>
      </w:r>
      <w:r>
        <w:rPr>
          <w:spacing w:val="-5"/>
        </w:rPr>
        <w:t> </w:t>
      </w:r>
      <w:r>
        <w:rPr/>
        <w:t>en</w:t>
      </w:r>
      <w:r>
        <w:rPr>
          <w:spacing w:val="-5"/>
        </w:rPr>
        <w:t> </w:t>
      </w:r>
      <w:r>
        <w:rPr/>
        <w:t>todos</w:t>
      </w:r>
      <w:r>
        <w:rPr>
          <w:spacing w:val="-5"/>
        </w:rPr>
        <w:t> </w:t>
      </w:r>
      <w:r>
        <w:rPr/>
        <w:t>los</w:t>
      </w:r>
      <w:r>
        <w:rPr>
          <w:spacing w:val="-6"/>
        </w:rPr>
        <w:t> </w:t>
      </w:r>
      <w:r>
        <w:rPr/>
        <w:t>casos</w:t>
      </w:r>
      <w:r>
        <w:rPr>
          <w:spacing w:val="-5"/>
        </w:rPr>
        <w:t> </w:t>
      </w:r>
      <w:r>
        <w:rPr/>
        <w:t>al</w:t>
      </w:r>
      <w:r>
        <w:rPr>
          <w:spacing w:val="-1"/>
        </w:rPr>
        <w:t> </w:t>
      </w:r>
      <w:r>
        <w:rPr/>
        <w:t>objetivo</w:t>
      </w:r>
      <w:r>
        <w:rPr>
          <w:spacing w:val="-6"/>
        </w:rPr>
        <w:t> </w:t>
      </w:r>
      <w:r>
        <w:rPr/>
        <w:t>de</w:t>
      </w:r>
      <w:r>
        <w:rPr>
          <w:spacing w:val="-5"/>
        </w:rPr>
        <w:t> </w:t>
      </w:r>
      <w:r>
        <w:rPr/>
        <w:t>culminar</w:t>
      </w:r>
      <w:r>
        <w:rPr>
          <w:spacing w:val="-6"/>
        </w:rPr>
        <w:t> </w:t>
      </w:r>
      <w:r>
        <w:rPr/>
        <w:t>con las actuaciones programadas, así como proceder a la actualización de los compromisos adquiridos, integrando en un único texto tanto los compromisos que continúan vigentes del documento de 22 de junio</w:t>
      </w:r>
      <w:r>
        <w:rPr>
          <w:spacing w:val="-5"/>
        </w:rPr>
        <w:t> </w:t>
      </w:r>
      <w:r>
        <w:rPr/>
        <w:t>de</w:t>
      </w:r>
      <w:r>
        <w:rPr>
          <w:spacing w:val="-5"/>
        </w:rPr>
        <w:t> </w:t>
      </w:r>
      <w:r>
        <w:rPr/>
        <w:t>2006</w:t>
      </w:r>
      <w:r>
        <w:rPr>
          <w:spacing w:val="-5"/>
        </w:rPr>
        <w:t> </w:t>
      </w:r>
      <w:r>
        <w:rPr/>
        <w:t>así</w:t>
      </w:r>
      <w:r>
        <w:rPr>
          <w:spacing w:val="-5"/>
        </w:rPr>
        <w:t> </w:t>
      </w:r>
      <w:r>
        <w:rPr/>
        <w:t>como</w:t>
      </w:r>
      <w:r>
        <w:rPr>
          <w:spacing w:val="-4"/>
        </w:rPr>
        <w:t> </w:t>
      </w:r>
      <w:r>
        <w:rPr/>
        <w:t>aquellos</w:t>
      </w:r>
      <w:r>
        <w:rPr>
          <w:spacing w:val="-4"/>
        </w:rPr>
        <w:t> </w:t>
      </w:r>
      <w:r>
        <w:rPr/>
        <w:t>derivados</w:t>
      </w:r>
      <w:r>
        <w:rPr>
          <w:spacing w:val="-5"/>
        </w:rPr>
        <w:t> </w:t>
      </w:r>
      <w:r>
        <w:rPr/>
        <w:t>de</w:t>
      </w:r>
      <w:r>
        <w:rPr>
          <w:spacing w:val="-4"/>
        </w:rPr>
        <w:t> </w:t>
      </w:r>
      <w:r>
        <w:rPr/>
        <w:t>los</w:t>
      </w:r>
      <w:r>
        <w:rPr>
          <w:spacing w:val="-6"/>
        </w:rPr>
        <w:t> </w:t>
      </w:r>
      <w:r>
        <w:rPr/>
        <w:t>pactos</w:t>
      </w:r>
      <w:r>
        <w:rPr>
          <w:spacing w:val="-5"/>
        </w:rPr>
        <w:t> </w:t>
      </w:r>
      <w:r>
        <w:rPr/>
        <w:t>y</w:t>
      </w:r>
      <w:r>
        <w:rPr>
          <w:spacing w:val="-2"/>
        </w:rPr>
        <w:t> </w:t>
      </w:r>
      <w:r>
        <w:rPr/>
        <w:t>acuerdos</w:t>
      </w:r>
      <w:r>
        <w:rPr>
          <w:spacing w:val="-6"/>
        </w:rPr>
        <w:t> </w:t>
      </w:r>
      <w:r>
        <w:rPr/>
        <w:t>alcanzados</w:t>
      </w:r>
      <w:r>
        <w:rPr>
          <w:spacing w:val="-5"/>
        </w:rPr>
        <w:t> </w:t>
      </w:r>
      <w:r>
        <w:rPr/>
        <w:t>por</w:t>
      </w:r>
      <w:r>
        <w:rPr>
          <w:spacing w:val="-4"/>
        </w:rPr>
        <w:t> </w:t>
      </w:r>
      <w:r>
        <w:rPr/>
        <w:t>las</w:t>
      </w:r>
      <w:r>
        <w:rPr>
          <w:spacing w:val="-5"/>
        </w:rPr>
        <w:t> </w:t>
      </w:r>
      <w:r>
        <w:rPr/>
        <w:t>partes</w:t>
      </w:r>
      <w:r>
        <w:rPr>
          <w:spacing w:val="-3"/>
        </w:rPr>
        <w:t> </w:t>
      </w:r>
      <w:r>
        <w:rPr/>
        <w:t>desde</w:t>
      </w:r>
      <w:r>
        <w:rPr>
          <w:spacing w:val="-4"/>
        </w:rPr>
        <w:t> </w:t>
      </w:r>
      <w:r>
        <w:rPr/>
        <w:t>la suscripción de dicho documento hasta la actualidad.</w:t>
      </w:r>
    </w:p>
    <w:p>
      <w:pPr>
        <w:pStyle w:val="BodyText"/>
        <w:spacing w:before="6"/>
      </w:pPr>
    </w:p>
    <w:p>
      <w:pPr>
        <w:pStyle w:val="BodyText"/>
        <w:spacing w:line="247" w:lineRule="auto"/>
        <w:ind w:left="995" w:right="846"/>
        <w:jc w:val="both"/>
      </w:pPr>
      <w:r>
        <w:rPr/>
        <w:t>El plan de etapas comprometido en la Adenda Modificativa del Convenio de 2006 se detalla a </w:t>
      </w:r>
      <w:r>
        <w:rPr>
          <w:spacing w:val="-2"/>
        </w:rPr>
        <w:t>continuación:</w:t>
      </w:r>
    </w:p>
    <w:p>
      <w:pPr>
        <w:pStyle w:val="BodyText"/>
        <w:rPr>
          <w:sz w:val="20"/>
        </w:rPr>
      </w:pPr>
    </w:p>
    <w:p>
      <w:pPr>
        <w:pStyle w:val="BodyText"/>
        <w:spacing w:before="60" w:after="1"/>
        <w:rPr>
          <w:sz w:val="20"/>
        </w:rPr>
      </w:pPr>
    </w:p>
    <w:tbl>
      <w:tblPr>
        <w:tblW w:w="0" w:type="auto"/>
        <w:jc w:val="left"/>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8"/>
        <w:gridCol w:w="1670"/>
        <w:gridCol w:w="704"/>
        <w:gridCol w:w="836"/>
        <w:gridCol w:w="731"/>
        <w:gridCol w:w="594"/>
        <w:gridCol w:w="594"/>
        <w:gridCol w:w="632"/>
        <w:gridCol w:w="561"/>
        <w:gridCol w:w="524"/>
        <w:gridCol w:w="498"/>
        <w:gridCol w:w="452"/>
        <w:gridCol w:w="452"/>
        <w:gridCol w:w="519"/>
        <w:gridCol w:w="563"/>
      </w:tblGrid>
      <w:tr>
        <w:trPr>
          <w:trHeight w:val="483" w:hRule="atLeast"/>
        </w:trPr>
        <w:tc>
          <w:tcPr>
            <w:tcW w:w="2618" w:type="dxa"/>
            <w:gridSpan w:val="2"/>
          </w:tcPr>
          <w:p>
            <w:pPr>
              <w:pStyle w:val="TableParagraph"/>
              <w:rPr>
                <w:sz w:val="14"/>
              </w:rPr>
            </w:pPr>
          </w:p>
          <w:p>
            <w:pPr>
              <w:pStyle w:val="TableParagraph"/>
              <w:ind w:left="10"/>
              <w:jc w:val="center"/>
              <w:rPr>
                <w:b/>
                <w:sz w:val="14"/>
              </w:rPr>
            </w:pPr>
            <w:r>
              <w:rPr>
                <w:b/>
                <w:spacing w:val="-2"/>
                <w:sz w:val="14"/>
              </w:rPr>
              <w:t>Actuación</w:t>
            </w:r>
          </w:p>
        </w:tc>
        <w:tc>
          <w:tcPr>
            <w:tcW w:w="704" w:type="dxa"/>
          </w:tcPr>
          <w:p>
            <w:pPr>
              <w:pStyle w:val="TableParagraph"/>
              <w:ind w:left="80" w:right="66"/>
              <w:jc w:val="center"/>
              <w:rPr>
                <w:b/>
                <w:sz w:val="14"/>
              </w:rPr>
            </w:pPr>
            <w:r>
              <w:rPr>
                <w:b/>
                <w:spacing w:val="-2"/>
                <w:sz w:val="14"/>
              </w:rPr>
              <w:t>Coste</w:t>
            </w:r>
            <w:r>
              <w:rPr>
                <w:b/>
                <w:spacing w:val="40"/>
                <w:sz w:val="14"/>
              </w:rPr>
              <w:t> </w:t>
            </w:r>
            <w:r>
              <w:rPr>
                <w:b/>
                <w:spacing w:val="-2"/>
                <w:sz w:val="14"/>
              </w:rPr>
              <w:t>total</w:t>
            </w:r>
          </w:p>
          <w:p>
            <w:pPr>
              <w:pStyle w:val="TableParagraph"/>
              <w:spacing w:line="141" w:lineRule="exact" w:before="1"/>
              <w:ind w:left="11"/>
              <w:jc w:val="center"/>
              <w:rPr>
                <w:b/>
                <w:sz w:val="14"/>
              </w:rPr>
            </w:pPr>
            <w:r>
              <w:rPr>
                <w:b/>
                <w:spacing w:val="-2"/>
                <w:sz w:val="14"/>
              </w:rPr>
              <w:t>estimado</w:t>
            </w:r>
          </w:p>
        </w:tc>
        <w:tc>
          <w:tcPr>
            <w:tcW w:w="836" w:type="dxa"/>
          </w:tcPr>
          <w:p>
            <w:pPr>
              <w:pStyle w:val="TableParagraph"/>
              <w:ind w:left="118" w:right="65" w:hanging="33"/>
              <w:rPr>
                <w:b/>
                <w:sz w:val="14"/>
              </w:rPr>
            </w:pPr>
            <w:r>
              <w:rPr>
                <w:b/>
                <w:sz w:val="14"/>
              </w:rPr>
              <w:t>Invertido</w:t>
            </w:r>
            <w:r>
              <w:rPr>
                <w:b/>
                <w:spacing w:val="-9"/>
                <w:sz w:val="14"/>
              </w:rPr>
              <w:t> </w:t>
            </w:r>
            <w:r>
              <w:rPr>
                <w:b/>
                <w:sz w:val="14"/>
              </w:rPr>
              <w:t>a</w:t>
            </w:r>
            <w:r>
              <w:rPr>
                <w:b/>
                <w:spacing w:val="40"/>
                <w:sz w:val="14"/>
              </w:rPr>
              <w:t> </w:t>
            </w:r>
            <w:r>
              <w:rPr>
                <w:b/>
                <w:spacing w:val="-2"/>
                <w:sz w:val="14"/>
              </w:rPr>
              <w:t>diciembre</w:t>
            </w:r>
          </w:p>
          <w:p>
            <w:pPr>
              <w:pStyle w:val="TableParagraph"/>
              <w:spacing w:line="141" w:lineRule="exact" w:before="1"/>
              <w:ind w:left="191"/>
              <w:rPr>
                <w:b/>
                <w:sz w:val="14"/>
              </w:rPr>
            </w:pPr>
            <w:r>
              <w:rPr>
                <w:b/>
                <w:sz w:val="14"/>
              </w:rPr>
              <w:t>de </w:t>
            </w:r>
            <w:r>
              <w:rPr>
                <w:b/>
                <w:spacing w:val="-4"/>
                <w:sz w:val="14"/>
              </w:rPr>
              <w:t>2018</w:t>
            </w:r>
          </w:p>
        </w:tc>
        <w:tc>
          <w:tcPr>
            <w:tcW w:w="731" w:type="dxa"/>
          </w:tcPr>
          <w:p>
            <w:pPr>
              <w:pStyle w:val="TableParagraph"/>
              <w:spacing w:before="80"/>
              <w:ind w:left="122" w:hanging="51"/>
              <w:rPr>
                <w:b/>
                <w:sz w:val="14"/>
              </w:rPr>
            </w:pPr>
            <w:r>
              <w:rPr>
                <w:b/>
                <w:spacing w:val="-2"/>
                <w:sz w:val="14"/>
              </w:rPr>
              <w:t>Pendiente</w:t>
            </w:r>
            <w:r>
              <w:rPr>
                <w:b/>
                <w:spacing w:val="40"/>
                <w:sz w:val="14"/>
              </w:rPr>
              <w:t> </w:t>
            </w:r>
            <w:r>
              <w:rPr>
                <w:b/>
                <w:spacing w:val="-2"/>
                <w:sz w:val="14"/>
              </w:rPr>
              <w:t>ejecutar</w:t>
            </w:r>
          </w:p>
        </w:tc>
        <w:tc>
          <w:tcPr>
            <w:tcW w:w="594" w:type="dxa"/>
          </w:tcPr>
          <w:p>
            <w:pPr>
              <w:pStyle w:val="TableParagraph"/>
              <w:rPr>
                <w:sz w:val="14"/>
              </w:rPr>
            </w:pPr>
          </w:p>
          <w:p>
            <w:pPr>
              <w:pStyle w:val="TableParagraph"/>
              <w:ind w:left="161"/>
              <w:rPr>
                <w:b/>
                <w:sz w:val="14"/>
              </w:rPr>
            </w:pPr>
            <w:r>
              <w:rPr>
                <w:b/>
                <w:spacing w:val="-4"/>
                <w:sz w:val="14"/>
              </w:rPr>
              <w:t>2019</w:t>
            </w:r>
          </w:p>
        </w:tc>
        <w:tc>
          <w:tcPr>
            <w:tcW w:w="594" w:type="dxa"/>
          </w:tcPr>
          <w:p>
            <w:pPr>
              <w:pStyle w:val="TableParagraph"/>
              <w:rPr>
                <w:sz w:val="14"/>
              </w:rPr>
            </w:pPr>
          </w:p>
          <w:p>
            <w:pPr>
              <w:pStyle w:val="TableParagraph"/>
              <w:ind w:left="20"/>
              <w:jc w:val="center"/>
              <w:rPr>
                <w:b/>
                <w:sz w:val="14"/>
              </w:rPr>
            </w:pPr>
            <w:r>
              <w:rPr>
                <w:b/>
                <w:spacing w:val="-4"/>
                <w:sz w:val="14"/>
              </w:rPr>
              <w:t>2020</w:t>
            </w:r>
          </w:p>
        </w:tc>
        <w:tc>
          <w:tcPr>
            <w:tcW w:w="632" w:type="dxa"/>
          </w:tcPr>
          <w:p>
            <w:pPr>
              <w:pStyle w:val="TableParagraph"/>
              <w:rPr>
                <w:sz w:val="14"/>
              </w:rPr>
            </w:pPr>
          </w:p>
          <w:p>
            <w:pPr>
              <w:pStyle w:val="TableParagraph"/>
              <w:ind w:left="21"/>
              <w:jc w:val="center"/>
              <w:rPr>
                <w:b/>
                <w:sz w:val="14"/>
              </w:rPr>
            </w:pPr>
            <w:r>
              <w:rPr>
                <w:b/>
                <w:spacing w:val="-4"/>
                <w:sz w:val="14"/>
              </w:rPr>
              <w:t>2021</w:t>
            </w:r>
          </w:p>
        </w:tc>
        <w:tc>
          <w:tcPr>
            <w:tcW w:w="561" w:type="dxa"/>
          </w:tcPr>
          <w:p>
            <w:pPr>
              <w:pStyle w:val="TableParagraph"/>
              <w:rPr>
                <w:sz w:val="14"/>
              </w:rPr>
            </w:pPr>
          </w:p>
          <w:p>
            <w:pPr>
              <w:pStyle w:val="TableParagraph"/>
              <w:ind w:left="25"/>
              <w:jc w:val="center"/>
              <w:rPr>
                <w:b/>
                <w:sz w:val="14"/>
              </w:rPr>
            </w:pPr>
            <w:r>
              <w:rPr>
                <w:b/>
                <w:spacing w:val="-4"/>
                <w:sz w:val="14"/>
              </w:rPr>
              <w:t>2022</w:t>
            </w:r>
          </w:p>
        </w:tc>
        <w:tc>
          <w:tcPr>
            <w:tcW w:w="524" w:type="dxa"/>
          </w:tcPr>
          <w:p>
            <w:pPr>
              <w:pStyle w:val="TableParagraph"/>
              <w:rPr>
                <w:sz w:val="14"/>
              </w:rPr>
            </w:pPr>
          </w:p>
          <w:p>
            <w:pPr>
              <w:pStyle w:val="TableParagraph"/>
              <w:ind w:left="30"/>
              <w:jc w:val="center"/>
              <w:rPr>
                <w:b/>
                <w:sz w:val="14"/>
              </w:rPr>
            </w:pPr>
            <w:r>
              <w:rPr>
                <w:b/>
                <w:spacing w:val="-4"/>
                <w:sz w:val="14"/>
              </w:rPr>
              <w:t>2023</w:t>
            </w:r>
          </w:p>
        </w:tc>
        <w:tc>
          <w:tcPr>
            <w:tcW w:w="498" w:type="dxa"/>
          </w:tcPr>
          <w:p>
            <w:pPr>
              <w:pStyle w:val="TableParagraph"/>
              <w:rPr>
                <w:sz w:val="14"/>
              </w:rPr>
            </w:pPr>
          </w:p>
          <w:p>
            <w:pPr>
              <w:pStyle w:val="TableParagraph"/>
              <w:ind w:left="31"/>
              <w:jc w:val="center"/>
              <w:rPr>
                <w:b/>
                <w:sz w:val="14"/>
              </w:rPr>
            </w:pPr>
            <w:r>
              <w:rPr>
                <w:b/>
                <w:spacing w:val="-4"/>
                <w:sz w:val="14"/>
              </w:rPr>
              <w:t>2024</w:t>
            </w:r>
          </w:p>
        </w:tc>
        <w:tc>
          <w:tcPr>
            <w:tcW w:w="452" w:type="dxa"/>
          </w:tcPr>
          <w:p>
            <w:pPr>
              <w:pStyle w:val="TableParagraph"/>
              <w:rPr>
                <w:sz w:val="14"/>
              </w:rPr>
            </w:pPr>
          </w:p>
          <w:p>
            <w:pPr>
              <w:pStyle w:val="TableParagraph"/>
              <w:ind w:left="46" w:right="7"/>
              <w:jc w:val="center"/>
              <w:rPr>
                <w:b/>
                <w:sz w:val="14"/>
              </w:rPr>
            </w:pPr>
            <w:r>
              <w:rPr>
                <w:b/>
                <w:spacing w:val="-4"/>
                <w:sz w:val="14"/>
              </w:rPr>
              <w:t>2025</w:t>
            </w:r>
          </w:p>
        </w:tc>
        <w:tc>
          <w:tcPr>
            <w:tcW w:w="452" w:type="dxa"/>
          </w:tcPr>
          <w:p>
            <w:pPr>
              <w:pStyle w:val="TableParagraph"/>
              <w:rPr>
                <w:sz w:val="14"/>
              </w:rPr>
            </w:pPr>
          </w:p>
          <w:p>
            <w:pPr>
              <w:pStyle w:val="TableParagraph"/>
              <w:ind w:left="46" w:right="2"/>
              <w:jc w:val="center"/>
              <w:rPr>
                <w:b/>
                <w:sz w:val="14"/>
              </w:rPr>
            </w:pPr>
            <w:r>
              <w:rPr>
                <w:b/>
                <w:spacing w:val="-4"/>
                <w:sz w:val="14"/>
              </w:rPr>
              <w:t>2026</w:t>
            </w:r>
          </w:p>
        </w:tc>
        <w:tc>
          <w:tcPr>
            <w:tcW w:w="519" w:type="dxa"/>
          </w:tcPr>
          <w:p>
            <w:pPr>
              <w:pStyle w:val="TableParagraph"/>
              <w:rPr>
                <w:sz w:val="14"/>
              </w:rPr>
            </w:pPr>
          </w:p>
          <w:p>
            <w:pPr>
              <w:pStyle w:val="TableParagraph"/>
              <w:ind w:left="48"/>
              <w:jc w:val="center"/>
              <w:rPr>
                <w:b/>
                <w:sz w:val="14"/>
              </w:rPr>
            </w:pPr>
            <w:r>
              <w:rPr>
                <w:b/>
                <w:spacing w:val="-4"/>
                <w:sz w:val="14"/>
              </w:rPr>
              <w:t>2027</w:t>
            </w:r>
          </w:p>
        </w:tc>
        <w:tc>
          <w:tcPr>
            <w:tcW w:w="563" w:type="dxa"/>
          </w:tcPr>
          <w:p>
            <w:pPr>
              <w:pStyle w:val="TableParagraph"/>
              <w:rPr>
                <w:sz w:val="14"/>
              </w:rPr>
            </w:pPr>
          </w:p>
          <w:p>
            <w:pPr>
              <w:pStyle w:val="TableParagraph"/>
              <w:ind w:left="164"/>
              <w:rPr>
                <w:b/>
                <w:sz w:val="14"/>
              </w:rPr>
            </w:pPr>
            <w:r>
              <w:rPr>
                <w:b/>
                <w:spacing w:val="-4"/>
                <w:sz w:val="14"/>
              </w:rPr>
              <w:t>2028</w:t>
            </w:r>
          </w:p>
        </w:tc>
      </w:tr>
      <w:tr>
        <w:trPr>
          <w:trHeight w:val="321" w:hRule="atLeast"/>
        </w:trPr>
        <w:tc>
          <w:tcPr>
            <w:tcW w:w="948"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110"/>
              <w:rPr>
                <w:sz w:val="14"/>
              </w:rPr>
            </w:pPr>
          </w:p>
          <w:p>
            <w:pPr>
              <w:pStyle w:val="TableParagraph"/>
              <w:ind w:left="127" w:hanging="16"/>
              <w:rPr>
                <w:b/>
                <w:sz w:val="14"/>
              </w:rPr>
            </w:pPr>
            <w:r>
              <w:rPr>
                <w:b/>
                <w:spacing w:val="-2"/>
                <w:sz w:val="14"/>
              </w:rPr>
              <w:t>Actuaciones</w:t>
            </w:r>
            <w:r>
              <w:rPr>
                <w:b/>
                <w:spacing w:val="40"/>
                <w:sz w:val="14"/>
              </w:rPr>
              <w:t> </w:t>
            </w:r>
            <w:r>
              <w:rPr>
                <w:b/>
                <w:spacing w:val="-2"/>
                <w:sz w:val="14"/>
              </w:rPr>
              <w:t>Integración</w:t>
            </w:r>
          </w:p>
        </w:tc>
        <w:tc>
          <w:tcPr>
            <w:tcW w:w="1670" w:type="dxa"/>
          </w:tcPr>
          <w:p>
            <w:pPr>
              <w:pStyle w:val="TableParagraph"/>
              <w:spacing w:line="160" w:lineRule="atLeast"/>
              <w:ind w:left="71" w:right="73"/>
              <w:rPr>
                <w:sz w:val="14"/>
              </w:rPr>
            </w:pPr>
            <w:r>
              <w:rPr>
                <w:w w:val="105"/>
                <w:sz w:val="14"/>
              </w:rPr>
              <w:t>Redacción</w:t>
            </w:r>
            <w:r>
              <w:rPr>
                <w:spacing w:val="-10"/>
                <w:w w:val="105"/>
                <w:sz w:val="14"/>
              </w:rPr>
              <w:t> </w:t>
            </w:r>
            <w:r>
              <w:rPr>
                <w:w w:val="105"/>
                <w:sz w:val="14"/>
              </w:rPr>
              <w:t>de</w:t>
            </w:r>
            <w:r>
              <w:rPr>
                <w:spacing w:val="-9"/>
                <w:w w:val="105"/>
                <w:sz w:val="14"/>
              </w:rPr>
              <w:t> </w:t>
            </w:r>
            <w:r>
              <w:rPr>
                <w:w w:val="105"/>
                <w:sz w:val="14"/>
              </w:rPr>
              <w:t>estudios</w:t>
            </w:r>
            <w:r>
              <w:rPr>
                <w:spacing w:val="-9"/>
                <w:w w:val="105"/>
                <w:sz w:val="14"/>
              </w:rPr>
              <w:t> </w:t>
            </w:r>
            <w:r>
              <w:rPr>
                <w:w w:val="105"/>
                <w:sz w:val="14"/>
              </w:rPr>
              <w:t>y</w:t>
            </w:r>
            <w:r>
              <w:rPr>
                <w:spacing w:val="40"/>
                <w:w w:val="105"/>
                <w:sz w:val="14"/>
              </w:rPr>
              <w:t> </w:t>
            </w:r>
            <w:r>
              <w:rPr>
                <w:spacing w:val="-2"/>
                <w:w w:val="105"/>
                <w:sz w:val="14"/>
              </w:rPr>
              <w:t>proyectos</w:t>
            </w:r>
          </w:p>
        </w:tc>
        <w:tc>
          <w:tcPr>
            <w:tcW w:w="704" w:type="dxa"/>
          </w:tcPr>
          <w:p>
            <w:pPr>
              <w:pStyle w:val="TableParagraph"/>
              <w:spacing w:before="80"/>
              <w:ind w:right="56"/>
              <w:jc w:val="right"/>
              <w:rPr>
                <w:sz w:val="14"/>
              </w:rPr>
            </w:pPr>
            <w:r>
              <w:rPr>
                <w:spacing w:val="-2"/>
                <w:sz w:val="14"/>
              </w:rPr>
              <w:t>6,100</w:t>
            </w:r>
          </w:p>
        </w:tc>
        <w:tc>
          <w:tcPr>
            <w:tcW w:w="836" w:type="dxa"/>
          </w:tcPr>
          <w:p>
            <w:pPr>
              <w:pStyle w:val="TableParagraph"/>
              <w:spacing w:before="80"/>
              <w:ind w:right="55"/>
              <w:jc w:val="right"/>
              <w:rPr>
                <w:sz w:val="14"/>
              </w:rPr>
            </w:pPr>
            <w:r>
              <w:rPr>
                <w:spacing w:val="-2"/>
                <w:sz w:val="14"/>
              </w:rPr>
              <w:t>5,500</w:t>
            </w:r>
          </w:p>
        </w:tc>
        <w:tc>
          <w:tcPr>
            <w:tcW w:w="731" w:type="dxa"/>
          </w:tcPr>
          <w:p>
            <w:pPr>
              <w:pStyle w:val="TableParagraph"/>
              <w:spacing w:before="80"/>
              <w:ind w:left="293"/>
              <w:jc w:val="center"/>
              <w:rPr>
                <w:sz w:val="14"/>
              </w:rPr>
            </w:pPr>
            <w:r>
              <w:rPr>
                <w:spacing w:val="-2"/>
                <w:sz w:val="14"/>
              </w:rPr>
              <w:t>0,600</w:t>
            </w:r>
          </w:p>
        </w:tc>
        <w:tc>
          <w:tcPr>
            <w:tcW w:w="594" w:type="dxa"/>
          </w:tcPr>
          <w:p>
            <w:pPr>
              <w:pStyle w:val="TableParagraph"/>
              <w:spacing w:before="80"/>
              <w:ind w:right="53"/>
              <w:jc w:val="right"/>
              <w:rPr>
                <w:sz w:val="14"/>
              </w:rPr>
            </w:pPr>
            <w:r>
              <w:rPr>
                <w:spacing w:val="-2"/>
                <w:sz w:val="14"/>
              </w:rPr>
              <w:t>0,600</w:t>
            </w:r>
          </w:p>
        </w:tc>
        <w:tc>
          <w:tcPr>
            <w:tcW w:w="594" w:type="dxa"/>
          </w:tcPr>
          <w:p>
            <w:pPr>
              <w:pStyle w:val="TableParagraph"/>
              <w:rPr>
                <w:sz w:val="18"/>
              </w:rPr>
            </w:pPr>
          </w:p>
        </w:tc>
        <w:tc>
          <w:tcPr>
            <w:tcW w:w="632" w:type="dxa"/>
          </w:tcPr>
          <w:p>
            <w:pPr>
              <w:pStyle w:val="TableParagraph"/>
              <w:rPr>
                <w:sz w:val="18"/>
              </w:rPr>
            </w:pPr>
          </w:p>
        </w:tc>
        <w:tc>
          <w:tcPr>
            <w:tcW w:w="561" w:type="dxa"/>
          </w:tcPr>
          <w:p>
            <w:pPr>
              <w:pStyle w:val="TableParagraph"/>
              <w:rPr>
                <w:sz w:val="18"/>
              </w:rPr>
            </w:pPr>
          </w:p>
        </w:tc>
        <w:tc>
          <w:tcPr>
            <w:tcW w:w="524" w:type="dxa"/>
          </w:tcPr>
          <w:p>
            <w:pPr>
              <w:pStyle w:val="TableParagraph"/>
              <w:rPr>
                <w:sz w:val="18"/>
              </w:rPr>
            </w:pPr>
          </w:p>
        </w:tc>
        <w:tc>
          <w:tcPr>
            <w:tcW w:w="498" w:type="dxa"/>
          </w:tcPr>
          <w:p>
            <w:pPr>
              <w:pStyle w:val="TableParagraph"/>
              <w:rPr>
                <w:sz w:val="18"/>
              </w:rPr>
            </w:pPr>
          </w:p>
        </w:tc>
        <w:tc>
          <w:tcPr>
            <w:tcW w:w="452" w:type="dxa"/>
          </w:tcPr>
          <w:p>
            <w:pPr>
              <w:pStyle w:val="TableParagraph"/>
              <w:rPr>
                <w:sz w:val="18"/>
              </w:rPr>
            </w:pPr>
          </w:p>
        </w:tc>
        <w:tc>
          <w:tcPr>
            <w:tcW w:w="452" w:type="dxa"/>
          </w:tcPr>
          <w:p>
            <w:pPr>
              <w:pStyle w:val="TableParagraph"/>
              <w:rPr>
                <w:sz w:val="18"/>
              </w:rPr>
            </w:pPr>
          </w:p>
        </w:tc>
        <w:tc>
          <w:tcPr>
            <w:tcW w:w="519" w:type="dxa"/>
          </w:tcPr>
          <w:p>
            <w:pPr>
              <w:pStyle w:val="TableParagraph"/>
              <w:rPr>
                <w:sz w:val="18"/>
              </w:rPr>
            </w:pPr>
          </w:p>
        </w:tc>
        <w:tc>
          <w:tcPr>
            <w:tcW w:w="563" w:type="dxa"/>
          </w:tcPr>
          <w:p>
            <w:pPr>
              <w:pStyle w:val="TableParagraph"/>
              <w:rPr>
                <w:sz w:val="18"/>
              </w:rPr>
            </w:pPr>
          </w:p>
        </w:tc>
      </w:tr>
      <w:tr>
        <w:trPr>
          <w:trHeight w:val="482" w:hRule="atLeast"/>
        </w:trPr>
        <w:tc>
          <w:tcPr>
            <w:tcW w:w="948" w:type="dxa"/>
            <w:vMerge/>
            <w:tcBorders>
              <w:top w:val="nil"/>
            </w:tcBorders>
          </w:tcPr>
          <w:p>
            <w:pPr>
              <w:rPr>
                <w:sz w:val="2"/>
                <w:szCs w:val="2"/>
              </w:rPr>
            </w:pPr>
          </w:p>
        </w:tc>
        <w:tc>
          <w:tcPr>
            <w:tcW w:w="1670" w:type="dxa"/>
          </w:tcPr>
          <w:p>
            <w:pPr>
              <w:pStyle w:val="TableParagraph"/>
              <w:spacing w:line="160" w:lineRule="atLeast"/>
              <w:ind w:left="71" w:right="73"/>
              <w:rPr>
                <w:sz w:val="14"/>
              </w:rPr>
            </w:pPr>
            <w:r>
              <w:rPr>
                <w:w w:val="105"/>
                <w:sz w:val="14"/>
              </w:rPr>
              <w:t>Obra</w:t>
            </w:r>
            <w:r>
              <w:rPr>
                <w:spacing w:val="-10"/>
                <w:w w:val="105"/>
                <w:sz w:val="14"/>
              </w:rPr>
              <w:t> </w:t>
            </w:r>
            <w:r>
              <w:rPr>
                <w:w w:val="105"/>
                <w:sz w:val="14"/>
              </w:rPr>
              <w:t>civil</w:t>
            </w:r>
            <w:r>
              <w:rPr>
                <w:spacing w:val="-9"/>
                <w:w w:val="105"/>
                <w:sz w:val="14"/>
              </w:rPr>
              <w:t> </w:t>
            </w:r>
            <w:r>
              <w:rPr>
                <w:w w:val="105"/>
                <w:sz w:val="14"/>
              </w:rPr>
              <w:t>y</w:t>
            </w:r>
            <w:r>
              <w:rPr>
                <w:spacing w:val="-9"/>
                <w:w w:val="105"/>
                <w:sz w:val="14"/>
              </w:rPr>
              <w:t> </w:t>
            </w:r>
            <w:r>
              <w:rPr>
                <w:w w:val="105"/>
                <w:sz w:val="14"/>
              </w:rPr>
              <w:t>vía</w:t>
            </w:r>
            <w:r>
              <w:rPr>
                <w:spacing w:val="-9"/>
                <w:w w:val="105"/>
                <w:sz w:val="14"/>
              </w:rPr>
              <w:t> </w:t>
            </w:r>
            <w:r>
              <w:rPr>
                <w:w w:val="105"/>
                <w:sz w:val="14"/>
              </w:rPr>
              <w:t>Santiago</w:t>
            </w:r>
            <w:r>
              <w:rPr>
                <w:spacing w:val="40"/>
                <w:w w:val="105"/>
                <w:sz w:val="14"/>
              </w:rPr>
              <w:t> </w:t>
            </w:r>
            <w:r>
              <w:rPr>
                <w:w w:val="105"/>
                <w:sz w:val="14"/>
              </w:rPr>
              <w:t>el Mayor y Senda de los</w:t>
            </w:r>
            <w:r>
              <w:rPr>
                <w:spacing w:val="40"/>
                <w:w w:val="105"/>
                <w:sz w:val="14"/>
              </w:rPr>
              <w:t> </w:t>
            </w:r>
            <w:r>
              <w:rPr>
                <w:spacing w:val="-2"/>
                <w:w w:val="105"/>
                <w:sz w:val="14"/>
              </w:rPr>
              <w:t>Garres</w:t>
            </w:r>
          </w:p>
        </w:tc>
        <w:tc>
          <w:tcPr>
            <w:tcW w:w="704" w:type="dxa"/>
          </w:tcPr>
          <w:p>
            <w:pPr>
              <w:pStyle w:val="TableParagraph"/>
              <w:rPr>
                <w:sz w:val="14"/>
              </w:rPr>
            </w:pPr>
          </w:p>
          <w:p>
            <w:pPr>
              <w:pStyle w:val="TableParagraph"/>
              <w:ind w:right="56"/>
              <w:jc w:val="right"/>
              <w:rPr>
                <w:sz w:val="14"/>
              </w:rPr>
            </w:pPr>
            <w:r>
              <w:rPr>
                <w:spacing w:val="-2"/>
                <w:sz w:val="14"/>
              </w:rPr>
              <w:t>90,080</w:t>
            </w:r>
          </w:p>
        </w:tc>
        <w:tc>
          <w:tcPr>
            <w:tcW w:w="836" w:type="dxa"/>
          </w:tcPr>
          <w:p>
            <w:pPr>
              <w:pStyle w:val="TableParagraph"/>
              <w:rPr>
                <w:sz w:val="14"/>
              </w:rPr>
            </w:pPr>
          </w:p>
          <w:p>
            <w:pPr>
              <w:pStyle w:val="TableParagraph"/>
              <w:ind w:right="56"/>
              <w:jc w:val="right"/>
              <w:rPr>
                <w:sz w:val="14"/>
              </w:rPr>
            </w:pPr>
            <w:r>
              <w:rPr>
                <w:spacing w:val="-2"/>
                <w:sz w:val="14"/>
              </w:rPr>
              <w:t>33,860</w:t>
            </w:r>
          </w:p>
        </w:tc>
        <w:tc>
          <w:tcPr>
            <w:tcW w:w="731" w:type="dxa"/>
          </w:tcPr>
          <w:p>
            <w:pPr>
              <w:pStyle w:val="TableParagraph"/>
              <w:rPr>
                <w:sz w:val="14"/>
              </w:rPr>
            </w:pPr>
          </w:p>
          <w:p>
            <w:pPr>
              <w:pStyle w:val="TableParagraph"/>
              <w:ind w:left="222"/>
              <w:jc w:val="center"/>
              <w:rPr>
                <w:sz w:val="14"/>
              </w:rPr>
            </w:pPr>
            <w:r>
              <w:rPr>
                <w:spacing w:val="-2"/>
                <w:sz w:val="14"/>
              </w:rPr>
              <w:t>56,220</w:t>
            </w:r>
          </w:p>
        </w:tc>
        <w:tc>
          <w:tcPr>
            <w:tcW w:w="594" w:type="dxa"/>
          </w:tcPr>
          <w:p>
            <w:pPr>
              <w:pStyle w:val="TableParagraph"/>
              <w:rPr>
                <w:sz w:val="14"/>
              </w:rPr>
            </w:pPr>
          </w:p>
          <w:p>
            <w:pPr>
              <w:pStyle w:val="TableParagraph"/>
              <w:ind w:right="53"/>
              <w:jc w:val="right"/>
              <w:rPr>
                <w:sz w:val="14"/>
              </w:rPr>
            </w:pPr>
            <w:r>
              <w:rPr>
                <w:spacing w:val="-2"/>
                <w:sz w:val="14"/>
              </w:rPr>
              <w:t>56,220</w:t>
            </w:r>
          </w:p>
        </w:tc>
        <w:tc>
          <w:tcPr>
            <w:tcW w:w="594" w:type="dxa"/>
          </w:tcPr>
          <w:p>
            <w:pPr>
              <w:pStyle w:val="TableParagraph"/>
              <w:rPr>
                <w:sz w:val="18"/>
              </w:rPr>
            </w:pPr>
          </w:p>
        </w:tc>
        <w:tc>
          <w:tcPr>
            <w:tcW w:w="632" w:type="dxa"/>
          </w:tcPr>
          <w:p>
            <w:pPr>
              <w:pStyle w:val="TableParagraph"/>
              <w:rPr>
                <w:sz w:val="18"/>
              </w:rPr>
            </w:pPr>
          </w:p>
        </w:tc>
        <w:tc>
          <w:tcPr>
            <w:tcW w:w="561" w:type="dxa"/>
          </w:tcPr>
          <w:p>
            <w:pPr>
              <w:pStyle w:val="TableParagraph"/>
              <w:rPr>
                <w:sz w:val="18"/>
              </w:rPr>
            </w:pPr>
          </w:p>
        </w:tc>
        <w:tc>
          <w:tcPr>
            <w:tcW w:w="524" w:type="dxa"/>
          </w:tcPr>
          <w:p>
            <w:pPr>
              <w:pStyle w:val="TableParagraph"/>
              <w:rPr>
                <w:sz w:val="18"/>
              </w:rPr>
            </w:pPr>
          </w:p>
        </w:tc>
        <w:tc>
          <w:tcPr>
            <w:tcW w:w="498" w:type="dxa"/>
          </w:tcPr>
          <w:p>
            <w:pPr>
              <w:pStyle w:val="TableParagraph"/>
              <w:rPr>
                <w:sz w:val="18"/>
              </w:rPr>
            </w:pPr>
          </w:p>
        </w:tc>
        <w:tc>
          <w:tcPr>
            <w:tcW w:w="452" w:type="dxa"/>
          </w:tcPr>
          <w:p>
            <w:pPr>
              <w:pStyle w:val="TableParagraph"/>
              <w:rPr>
                <w:sz w:val="18"/>
              </w:rPr>
            </w:pPr>
          </w:p>
        </w:tc>
        <w:tc>
          <w:tcPr>
            <w:tcW w:w="452" w:type="dxa"/>
          </w:tcPr>
          <w:p>
            <w:pPr>
              <w:pStyle w:val="TableParagraph"/>
              <w:rPr>
                <w:sz w:val="18"/>
              </w:rPr>
            </w:pPr>
          </w:p>
        </w:tc>
        <w:tc>
          <w:tcPr>
            <w:tcW w:w="519" w:type="dxa"/>
          </w:tcPr>
          <w:p>
            <w:pPr>
              <w:pStyle w:val="TableParagraph"/>
              <w:rPr>
                <w:sz w:val="18"/>
              </w:rPr>
            </w:pPr>
          </w:p>
        </w:tc>
        <w:tc>
          <w:tcPr>
            <w:tcW w:w="563" w:type="dxa"/>
          </w:tcPr>
          <w:p>
            <w:pPr>
              <w:pStyle w:val="TableParagraph"/>
              <w:rPr>
                <w:sz w:val="18"/>
              </w:rPr>
            </w:pPr>
          </w:p>
        </w:tc>
      </w:tr>
      <w:tr>
        <w:trPr>
          <w:trHeight w:val="321" w:hRule="atLeast"/>
        </w:trPr>
        <w:tc>
          <w:tcPr>
            <w:tcW w:w="948" w:type="dxa"/>
            <w:vMerge/>
            <w:tcBorders>
              <w:top w:val="nil"/>
            </w:tcBorders>
          </w:tcPr>
          <w:p>
            <w:pPr>
              <w:rPr>
                <w:sz w:val="2"/>
                <w:szCs w:val="2"/>
              </w:rPr>
            </w:pPr>
          </w:p>
        </w:tc>
        <w:tc>
          <w:tcPr>
            <w:tcW w:w="1670" w:type="dxa"/>
          </w:tcPr>
          <w:p>
            <w:pPr>
              <w:pStyle w:val="TableParagraph"/>
              <w:spacing w:line="160" w:lineRule="atLeast"/>
              <w:ind w:left="71" w:right="73"/>
              <w:rPr>
                <w:sz w:val="14"/>
              </w:rPr>
            </w:pPr>
            <w:r>
              <w:rPr>
                <w:w w:val="105"/>
                <w:sz w:val="14"/>
              </w:rPr>
              <w:t>Obra</w:t>
            </w:r>
            <w:r>
              <w:rPr>
                <w:spacing w:val="-10"/>
                <w:w w:val="105"/>
                <w:sz w:val="14"/>
              </w:rPr>
              <w:t> </w:t>
            </w:r>
            <w:r>
              <w:rPr>
                <w:w w:val="105"/>
                <w:sz w:val="14"/>
              </w:rPr>
              <w:t>civil</w:t>
            </w:r>
            <w:r>
              <w:rPr>
                <w:spacing w:val="-9"/>
                <w:w w:val="105"/>
                <w:sz w:val="14"/>
              </w:rPr>
              <w:t> </w:t>
            </w:r>
            <w:r>
              <w:rPr>
                <w:w w:val="105"/>
                <w:sz w:val="14"/>
              </w:rPr>
              <w:t>y</w:t>
            </w:r>
            <w:r>
              <w:rPr>
                <w:spacing w:val="-8"/>
                <w:w w:val="105"/>
                <w:sz w:val="14"/>
              </w:rPr>
              <w:t> </w:t>
            </w:r>
            <w:r>
              <w:rPr>
                <w:w w:val="105"/>
                <w:sz w:val="14"/>
              </w:rPr>
              <w:t>vía</w:t>
            </w:r>
            <w:r>
              <w:rPr>
                <w:spacing w:val="-9"/>
                <w:w w:val="105"/>
                <w:sz w:val="14"/>
              </w:rPr>
              <w:t> </w:t>
            </w:r>
            <w:r>
              <w:rPr>
                <w:w w:val="105"/>
                <w:sz w:val="14"/>
              </w:rPr>
              <w:t>Estación,</w:t>
            </w:r>
            <w:r>
              <w:rPr>
                <w:spacing w:val="40"/>
                <w:w w:val="105"/>
                <w:sz w:val="14"/>
              </w:rPr>
              <w:t> </w:t>
            </w:r>
            <w:r>
              <w:rPr>
                <w:w w:val="105"/>
                <w:sz w:val="14"/>
              </w:rPr>
              <w:t>Barriomar</w:t>
            </w:r>
            <w:r>
              <w:rPr>
                <w:spacing w:val="-4"/>
                <w:w w:val="105"/>
                <w:sz w:val="14"/>
              </w:rPr>
              <w:t> </w:t>
            </w:r>
            <w:r>
              <w:rPr>
                <w:w w:val="105"/>
                <w:sz w:val="14"/>
              </w:rPr>
              <w:t>y</w:t>
            </w:r>
            <w:r>
              <w:rPr>
                <w:spacing w:val="-4"/>
                <w:w w:val="105"/>
                <w:sz w:val="14"/>
              </w:rPr>
              <w:t> </w:t>
            </w:r>
            <w:r>
              <w:rPr>
                <w:spacing w:val="-2"/>
                <w:w w:val="105"/>
                <w:sz w:val="14"/>
              </w:rPr>
              <w:t>Nonduermas</w:t>
            </w:r>
          </w:p>
        </w:tc>
        <w:tc>
          <w:tcPr>
            <w:tcW w:w="704" w:type="dxa"/>
          </w:tcPr>
          <w:p>
            <w:pPr>
              <w:pStyle w:val="TableParagraph"/>
              <w:spacing w:before="81"/>
              <w:ind w:right="56"/>
              <w:jc w:val="right"/>
              <w:rPr>
                <w:sz w:val="14"/>
              </w:rPr>
            </w:pPr>
            <w:r>
              <w:rPr>
                <w:spacing w:val="-2"/>
                <w:sz w:val="14"/>
              </w:rPr>
              <w:t>333,450</w:t>
            </w:r>
          </w:p>
        </w:tc>
        <w:tc>
          <w:tcPr>
            <w:tcW w:w="836" w:type="dxa"/>
          </w:tcPr>
          <w:p>
            <w:pPr>
              <w:pStyle w:val="TableParagraph"/>
              <w:rPr>
                <w:sz w:val="18"/>
              </w:rPr>
            </w:pPr>
          </w:p>
        </w:tc>
        <w:tc>
          <w:tcPr>
            <w:tcW w:w="731" w:type="dxa"/>
          </w:tcPr>
          <w:p>
            <w:pPr>
              <w:pStyle w:val="TableParagraph"/>
              <w:spacing w:before="81"/>
              <w:ind w:left="152"/>
              <w:jc w:val="center"/>
              <w:rPr>
                <w:sz w:val="14"/>
              </w:rPr>
            </w:pPr>
            <w:r>
              <w:rPr>
                <w:spacing w:val="-2"/>
                <w:sz w:val="14"/>
              </w:rPr>
              <w:t>333,450</w:t>
            </w:r>
          </w:p>
        </w:tc>
        <w:tc>
          <w:tcPr>
            <w:tcW w:w="594" w:type="dxa"/>
          </w:tcPr>
          <w:p>
            <w:pPr>
              <w:pStyle w:val="TableParagraph"/>
              <w:spacing w:before="81"/>
              <w:ind w:right="53"/>
              <w:jc w:val="right"/>
              <w:rPr>
                <w:sz w:val="14"/>
              </w:rPr>
            </w:pPr>
            <w:r>
              <w:rPr>
                <w:spacing w:val="-2"/>
                <w:sz w:val="14"/>
              </w:rPr>
              <w:t>88,741</w:t>
            </w:r>
          </w:p>
        </w:tc>
        <w:tc>
          <w:tcPr>
            <w:tcW w:w="594" w:type="dxa"/>
          </w:tcPr>
          <w:p>
            <w:pPr>
              <w:pStyle w:val="TableParagraph"/>
              <w:spacing w:before="81"/>
              <w:ind w:left="90"/>
              <w:jc w:val="center"/>
              <w:rPr>
                <w:sz w:val="14"/>
              </w:rPr>
            </w:pPr>
            <w:r>
              <w:rPr>
                <w:spacing w:val="-2"/>
                <w:sz w:val="14"/>
              </w:rPr>
              <w:t>98,305</w:t>
            </w:r>
          </w:p>
        </w:tc>
        <w:tc>
          <w:tcPr>
            <w:tcW w:w="632" w:type="dxa"/>
          </w:tcPr>
          <w:p>
            <w:pPr>
              <w:pStyle w:val="TableParagraph"/>
              <w:spacing w:before="81"/>
              <w:ind w:left="61"/>
              <w:jc w:val="center"/>
              <w:rPr>
                <w:sz w:val="14"/>
              </w:rPr>
            </w:pPr>
            <w:r>
              <w:rPr>
                <w:spacing w:val="-2"/>
                <w:sz w:val="14"/>
              </w:rPr>
              <w:t>116,524</w:t>
            </w:r>
          </w:p>
        </w:tc>
        <w:tc>
          <w:tcPr>
            <w:tcW w:w="561" w:type="dxa"/>
          </w:tcPr>
          <w:p>
            <w:pPr>
              <w:pStyle w:val="TableParagraph"/>
              <w:spacing w:before="81"/>
              <w:ind w:left="63"/>
              <w:jc w:val="center"/>
              <w:rPr>
                <w:sz w:val="14"/>
              </w:rPr>
            </w:pPr>
            <w:r>
              <w:rPr>
                <w:spacing w:val="-2"/>
                <w:sz w:val="14"/>
              </w:rPr>
              <w:t>29,880</w:t>
            </w:r>
          </w:p>
        </w:tc>
        <w:tc>
          <w:tcPr>
            <w:tcW w:w="524" w:type="dxa"/>
          </w:tcPr>
          <w:p>
            <w:pPr>
              <w:pStyle w:val="TableParagraph"/>
              <w:rPr>
                <w:sz w:val="18"/>
              </w:rPr>
            </w:pPr>
          </w:p>
        </w:tc>
        <w:tc>
          <w:tcPr>
            <w:tcW w:w="498" w:type="dxa"/>
          </w:tcPr>
          <w:p>
            <w:pPr>
              <w:pStyle w:val="TableParagraph"/>
              <w:rPr>
                <w:sz w:val="18"/>
              </w:rPr>
            </w:pPr>
          </w:p>
        </w:tc>
        <w:tc>
          <w:tcPr>
            <w:tcW w:w="452" w:type="dxa"/>
          </w:tcPr>
          <w:p>
            <w:pPr>
              <w:pStyle w:val="TableParagraph"/>
              <w:rPr>
                <w:sz w:val="18"/>
              </w:rPr>
            </w:pPr>
          </w:p>
        </w:tc>
        <w:tc>
          <w:tcPr>
            <w:tcW w:w="452" w:type="dxa"/>
          </w:tcPr>
          <w:p>
            <w:pPr>
              <w:pStyle w:val="TableParagraph"/>
              <w:rPr>
                <w:sz w:val="18"/>
              </w:rPr>
            </w:pPr>
          </w:p>
        </w:tc>
        <w:tc>
          <w:tcPr>
            <w:tcW w:w="519" w:type="dxa"/>
          </w:tcPr>
          <w:p>
            <w:pPr>
              <w:pStyle w:val="TableParagraph"/>
              <w:rPr>
                <w:sz w:val="18"/>
              </w:rPr>
            </w:pPr>
          </w:p>
        </w:tc>
        <w:tc>
          <w:tcPr>
            <w:tcW w:w="563" w:type="dxa"/>
          </w:tcPr>
          <w:p>
            <w:pPr>
              <w:pStyle w:val="TableParagraph"/>
              <w:rPr>
                <w:sz w:val="18"/>
              </w:rPr>
            </w:pPr>
          </w:p>
        </w:tc>
      </w:tr>
      <w:tr>
        <w:trPr>
          <w:trHeight w:val="321" w:hRule="atLeast"/>
        </w:trPr>
        <w:tc>
          <w:tcPr>
            <w:tcW w:w="948" w:type="dxa"/>
            <w:vMerge/>
            <w:tcBorders>
              <w:top w:val="nil"/>
            </w:tcBorders>
          </w:tcPr>
          <w:p>
            <w:pPr>
              <w:rPr>
                <w:sz w:val="2"/>
                <w:szCs w:val="2"/>
              </w:rPr>
            </w:pPr>
          </w:p>
        </w:tc>
        <w:tc>
          <w:tcPr>
            <w:tcW w:w="1670" w:type="dxa"/>
          </w:tcPr>
          <w:p>
            <w:pPr>
              <w:pStyle w:val="TableParagraph"/>
              <w:spacing w:line="160" w:lineRule="exact"/>
              <w:ind w:left="71" w:right="125"/>
              <w:rPr>
                <w:sz w:val="14"/>
              </w:rPr>
            </w:pPr>
            <w:r>
              <w:rPr>
                <w:w w:val="105"/>
                <w:sz w:val="14"/>
              </w:rPr>
              <w:t>Instalaciones,</w:t>
            </w:r>
            <w:r>
              <w:rPr>
                <w:spacing w:val="-10"/>
                <w:w w:val="105"/>
                <w:sz w:val="14"/>
              </w:rPr>
              <w:t> </w:t>
            </w:r>
            <w:r>
              <w:rPr>
                <w:w w:val="105"/>
                <w:sz w:val="14"/>
              </w:rPr>
              <w:t>reposición</w:t>
            </w:r>
            <w:r>
              <w:rPr>
                <w:spacing w:val="40"/>
                <w:w w:val="105"/>
                <w:sz w:val="14"/>
              </w:rPr>
              <w:t> </w:t>
            </w:r>
            <w:r>
              <w:rPr>
                <w:w w:val="105"/>
                <w:sz w:val="14"/>
              </w:rPr>
              <w:t>de servicios y otros</w:t>
            </w:r>
          </w:p>
        </w:tc>
        <w:tc>
          <w:tcPr>
            <w:tcW w:w="704" w:type="dxa"/>
          </w:tcPr>
          <w:p>
            <w:pPr>
              <w:pStyle w:val="TableParagraph"/>
              <w:spacing w:before="80"/>
              <w:ind w:right="56"/>
              <w:jc w:val="right"/>
              <w:rPr>
                <w:sz w:val="14"/>
              </w:rPr>
            </w:pPr>
            <w:r>
              <w:rPr>
                <w:spacing w:val="-2"/>
                <w:sz w:val="14"/>
              </w:rPr>
              <w:t>119,620</w:t>
            </w:r>
          </w:p>
        </w:tc>
        <w:tc>
          <w:tcPr>
            <w:tcW w:w="836" w:type="dxa"/>
          </w:tcPr>
          <w:p>
            <w:pPr>
              <w:pStyle w:val="TableParagraph"/>
              <w:rPr>
                <w:sz w:val="18"/>
              </w:rPr>
            </w:pPr>
          </w:p>
        </w:tc>
        <w:tc>
          <w:tcPr>
            <w:tcW w:w="731" w:type="dxa"/>
          </w:tcPr>
          <w:p>
            <w:pPr>
              <w:pStyle w:val="TableParagraph"/>
              <w:spacing w:before="80"/>
              <w:ind w:left="152"/>
              <w:jc w:val="center"/>
              <w:rPr>
                <w:sz w:val="14"/>
              </w:rPr>
            </w:pPr>
            <w:r>
              <w:rPr>
                <w:spacing w:val="-2"/>
                <w:sz w:val="14"/>
              </w:rPr>
              <w:t>119,620</w:t>
            </w:r>
          </w:p>
        </w:tc>
        <w:tc>
          <w:tcPr>
            <w:tcW w:w="594" w:type="dxa"/>
          </w:tcPr>
          <w:p>
            <w:pPr>
              <w:pStyle w:val="TableParagraph"/>
              <w:spacing w:before="80"/>
              <w:ind w:right="53"/>
              <w:jc w:val="right"/>
              <w:rPr>
                <w:sz w:val="14"/>
              </w:rPr>
            </w:pPr>
            <w:r>
              <w:rPr>
                <w:spacing w:val="-2"/>
                <w:sz w:val="14"/>
              </w:rPr>
              <w:t>13,268</w:t>
            </w:r>
          </w:p>
        </w:tc>
        <w:tc>
          <w:tcPr>
            <w:tcW w:w="594" w:type="dxa"/>
          </w:tcPr>
          <w:p>
            <w:pPr>
              <w:pStyle w:val="TableParagraph"/>
              <w:spacing w:before="80"/>
              <w:ind w:left="90"/>
              <w:jc w:val="center"/>
              <w:rPr>
                <w:sz w:val="14"/>
              </w:rPr>
            </w:pPr>
            <w:r>
              <w:rPr>
                <w:spacing w:val="-2"/>
                <w:sz w:val="14"/>
              </w:rPr>
              <w:t>15,480</w:t>
            </w:r>
          </w:p>
        </w:tc>
        <w:tc>
          <w:tcPr>
            <w:tcW w:w="632" w:type="dxa"/>
          </w:tcPr>
          <w:p>
            <w:pPr>
              <w:pStyle w:val="TableParagraph"/>
              <w:spacing w:before="80"/>
              <w:ind w:left="131"/>
              <w:jc w:val="center"/>
              <w:rPr>
                <w:sz w:val="14"/>
              </w:rPr>
            </w:pPr>
            <w:r>
              <w:rPr>
                <w:spacing w:val="-2"/>
                <w:sz w:val="14"/>
              </w:rPr>
              <w:t>21,330</w:t>
            </w:r>
          </w:p>
        </w:tc>
        <w:tc>
          <w:tcPr>
            <w:tcW w:w="561" w:type="dxa"/>
          </w:tcPr>
          <w:p>
            <w:pPr>
              <w:pStyle w:val="TableParagraph"/>
              <w:spacing w:before="80"/>
              <w:ind w:left="63"/>
              <w:jc w:val="center"/>
              <w:rPr>
                <w:sz w:val="14"/>
              </w:rPr>
            </w:pPr>
            <w:r>
              <w:rPr>
                <w:spacing w:val="-2"/>
                <w:sz w:val="14"/>
              </w:rPr>
              <w:t>33,062</w:t>
            </w:r>
          </w:p>
        </w:tc>
        <w:tc>
          <w:tcPr>
            <w:tcW w:w="524" w:type="dxa"/>
          </w:tcPr>
          <w:p>
            <w:pPr>
              <w:pStyle w:val="TableParagraph"/>
              <w:spacing w:before="80"/>
              <w:ind w:left="30"/>
              <w:jc w:val="center"/>
              <w:rPr>
                <w:sz w:val="14"/>
              </w:rPr>
            </w:pPr>
            <w:r>
              <w:rPr>
                <w:spacing w:val="-2"/>
                <w:sz w:val="14"/>
              </w:rPr>
              <w:t>36,480</w:t>
            </w:r>
          </w:p>
        </w:tc>
        <w:tc>
          <w:tcPr>
            <w:tcW w:w="498" w:type="dxa"/>
          </w:tcPr>
          <w:p>
            <w:pPr>
              <w:pStyle w:val="TableParagraph"/>
              <w:rPr>
                <w:sz w:val="18"/>
              </w:rPr>
            </w:pPr>
          </w:p>
        </w:tc>
        <w:tc>
          <w:tcPr>
            <w:tcW w:w="452" w:type="dxa"/>
          </w:tcPr>
          <w:p>
            <w:pPr>
              <w:pStyle w:val="TableParagraph"/>
              <w:rPr>
                <w:sz w:val="18"/>
              </w:rPr>
            </w:pPr>
          </w:p>
        </w:tc>
        <w:tc>
          <w:tcPr>
            <w:tcW w:w="452" w:type="dxa"/>
          </w:tcPr>
          <w:p>
            <w:pPr>
              <w:pStyle w:val="TableParagraph"/>
              <w:rPr>
                <w:sz w:val="18"/>
              </w:rPr>
            </w:pPr>
          </w:p>
        </w:tc>
        <w:tc>
          <w:tcPr>
            <w:tcW w:w="519" w:type="dxa"/>
          </w:tcPr>
          <w:p>
            <w:pPr>
              <w:pStyle w:val="TableParagraph"/>
              <w:rPr>
                <w:sz w:val="18"/>
              </w:rPr>
            </w:pPr>
          </w:p>
        </w:tc>
        <w:tc>
          <w:tcPr>
            <w:tcW w:w="563" w:type="dxa"/>
          </w:tcPr>
          <w:p>
            <w:pPr>
              <w:pStyle w:val="TableParagraph"/>
              <w:rPr>
                <w:sz w:val="18"/>
              </w:rPr>
            </w:pPr>
          </w:p>
        </w:tc>
      </w:tr>
      <w:tr>
        <w:trPr>
          <w:trHeight w:val="322" w:hRule="atLeast"/>
        </w:trPr>
        <w:tc>
          <w:tcPr>
            <w:tcW w:w="948" w:type="dxa"/>
            <w:vMerge/>
            <w:tcBorders>
              <w:top w:val="nil"/>
            </w:tcBorders>
          </w:tcPr>
          <w:p>
            <w:pPr>
              <w:rPr>
                <w:sz w:val="2"/>
                <w:szCs w:val="2"/>
              </w:rPr>
            </w:pPr>
          </w:p>
        </w:tc>
        <w:tc>
          <w:tcPr>
            <w:tcW w:w="1670" w:type="dxa"/>
          </w:tcPr>
          <w:p>
            <w:pPr>
              <w:pStyle w:val="TableParagraph"/>
              <w:spacing w:line="160" w:lineRule="atLeast"/>
              <w:ind w:left="71"/>
              <w:rPr>
                <w:sz w:val="14"/>
              </w:rPr>
            </w:pPr>
            <w:r>
              <w:rPr>
                <w:w w:val="105"/>
                <w:sz w:val="14"/>
              </w:rPr>
              <w:t>Intermodalidad</w:t>
            </w:r>
            <w:r>
              <w:rPr>
                <w:spacing w:val="-10"/>
                <w:w w:val="105"/>
                <w:sz w:val="14"/>
              </w:rPr>
              <w:t> </w:t>
            </w:r>
            <w:r>
              <w:rPr>
                <w:w w:val="105"/>
                <w:sz w:val="14"/>
              </w:rPr>
              <w:t>-</w:t>
            </w:r>
            <w:r>
              <w:rPr>
                <w:spacing w:val="-9"/>
                <w:w w:val="105"/>
                <w:sz w:val="14"/>
              </w:rPr>
              <w:t> </w:t>
            </w:r>
            <w:r>
              <w:rPr>
                <w:w w:val="105"/>
                <w:sz w:val="14"/>
              </w:rPr>
              <w:t>Estación</w:t>
            </w:r>
            <w:r>
              <w:rPr>
                <w:spacing w:val="40"/>
                <w:w w:val="105"/>
                <w:sz w:val="14"/>
              </w:rPr>
              <w:t> </w:t>
            </w:r>
            <w:r>
              <w:rPr>
                <w:spacing w:val="-2"/>
                <w:w w:val="105"/>
                <w:sz w:val="14"/>
              </w:rPr>
              <w:t>autobuses</w:t>
            </w:r>
          </w:p>
        </w:tc>
        <w:tc>
          <w:tcPr>
            <w:tcW w:w="704" w:type="dxa"/>
          </w:tcPr>
          <w:p>
            <w:pPr>
              <w:pStyle w:val="TableParagraph"/>
              <w:spacing w:before="81"/>
              <w:ind w:right="56"/>
              <w:jc w:val="right"/>
              <w:rPr>
                <w:sz w:val="14"/>
              </w:rPr>
            </w:pPr>
            <w:r>
              <w:rPr>
                <w:spacing w:val="-2"/>
                <w:sz w:val="14"/>
              </w:rPr>
              <w:t>16,630</w:t>
            </w:r>
          </w:p>
        </w:tc>
        <w:tc>
          <w:tcPr>
            <w:tcW w:w="836" w:type="dxa"/>
          </w:tcPr>
          <w:p>
            <w:pPr>
              <w:pStyle w:val="TableParagraph"/>
              <w:rPr>
                <w:sz w:val="18"/>
              </w:rPr>
            </w:pPr>
          </w:p>
        </w:tc>
        <w:tc>
          <w:tcPr>
            <w:tcW w:w="731" w:type="dxa"/>
          </w:tcPr>
          <w:p>
            <w:pPr>
              <w:pStyle w:val="TableParagraph"/>
              <w:spacing w:before="81"/>
              <w:ind w:left="222"/>
              <w:jc w:val="center"/>
              <w:rPr>
                <w:sz w:val="14"/>
              </w:rPr>
            </w:pPr>
            <w:r>
              <w:rPr>
                <w:spacing w:val="-2"/>
                <w:sz w:val="14"/>
              </w:rPr>
              <w:t>16,630</w:t>
            </w:r>
          </w:p>
        </w:tc>
        <w:tc>
          <w:tcPr>
            <w:tcW w:w="594" w:type="dxa"/>
          </w:tcPr>
          <w:p>
            <w:pPr>
              <w:pStyle w:val="TableParagraph"/>
              <w:rPr>
                <w:sz w:val="18"/>
              </w:rPr>
            </w:pPr>
          </w:p>
        </w:tc>
        <w:tc>
          <w:tcPr>
            <w:tcW w:w="594" w:type="dxa"/>
          </w:tcPr>
          <w:p>
            <w:pPr>
              <w:pStyle w:val="TableParagraph"/>
              <w:spacing w:before="81"/>
              <w:ind w:left="161"/>
              <w:jc w:val="center"/>
              <w:rPr>
                <w:sz w:val="14"/>
              </w:rPr>
            </w:pPr>
            <w:r>
              <w:rPr>
                <w:spacing w:val="-2"/>
                <w:sz w:val="14"/>
              </w:rPr>
              <w:t>1,935</w:t>
            </w:r>
          </w:p>
        </w:tc>
        <w:tc>
          <w:tcPr>
            <w:tcW w:w="632" w:type="dxa"/>
          </w:tcPr>
          <w:p>
            <w:pPr>
              <w:pStyle w:val="TableParagraph"/>
              <w:spacing w:before="81"/>
              <w:ind w:left="202"/>
              <w:jc w:val="center"/>
              <w:rPr>
                <w:sz w:val="14"/>
              </w:rPr>
            </w:pPr>
            <w:r>
              <w:rPr>
                <w:spacing w:val="-2"/>
                <w:sz w:val="14"/>
              </w:rPr>
              <w:t>2,133</w:t>
            </w:r>
          </w:p>
        </w:tc>
        <w:tc>
          <w:tcPr>
            <w:tcW w:w="561" w:type="dxa"/>
          </w:tcPr>
          <w:p>
            <w:pPr>
              <w:pStyle w:val="TableParagraph"/>
              <w:spacing w:before="81"/>
              <w:ind w:left="135"/>
              <w:jc w:val="center"/>
              <w:rPr>
                <w:sz w:val="14"/>
              </w:rPr>
            </w:pPr>
            <w:r>
              <w:rPr>
                <w:spacing w:val="-2"/>
                <w:sz w:val="14"/>
              </w:rPr>
              <w:t>6,554</w:t>
            </w:r>
          </w:p>
        </w:tc>
        <w:tc>
          <w:tcPr>
            <w:tcW w:w="524" w:type="dxa"/>
          </w:tcPr>
          <w:p>
            <w:pPr>
              <w:pStyle w:val="TableParagraph"/>
              <w:spacing w:before="81"/>
              <w:ind w:left="101"/>
              <w:jc w:val="center"/>
              <w:rPr>
                <w:sz w:val="14"/>
              </w:rPr>
            </w:pPr>
            <w:r>
              <w:rPr>
                <w:spacing w:val="-2"/>
                <w:sz w:val="14"/>
              </w:rPr>
              <w:t>6,008</w:t>
            </w:r>
          </w:p>
        </w:tc>
        <w:tc>
          <w:tcPr>
            <w:tcW w:w="498" w:type="dxa"/>
          </w:tcPr>
          <w:p>
            <w:pPr>
              <w:pStyle w:val="TableParagraph"/>
              <w:rPr>
                <w:sz w:val="18"/>
              </w:rPr>
            </w:pPr>
          </w:p>
        </w:tc>
        <w:tc>
          <w:tcPr>
            <w:tcW w:w="452" w:type="dxa"/>
          </w:tcPr>
          <w:p>
            <w:pPr>
              <w:pStyle w:val="TableParagraph"/>
              <w:rPr>
                <w:sz w:val="18"/>
              </w:rPr>
            </w:pPr>
          </w:p>
        </w:tc>
        <w:tc>
          <w:tcPr>
            <w:tcW w:w="452" w:type="dxa"/>
          </w:tcPr>
          <w:p>
            <w:pPr>
              <w:pStyle w:val="TableParagraph"/>
              <w:rPr>
                <w:sz w:val="18"/>
              </w:rPr>
            </w:pPr>
          </w:p>
        </w:tc>
        <w:tc>
          <w:tcPr>
            <w:tcW w:w="519" w:type="dxa"/>
          </w:tcPr>
          <w:p>
            <w:pPr>
              <w:pStyle w:val="TableParagraph"/>
              <w:rPr>
                <w:sz w:val="18"/>
              </w:rPr>
            </w:pPr>
          </w:p>
        </w:tc>
        <w:tc>
          <w:tcPr>
            <w:tcW w:w="563" w:type="dxa"/>
          </w:tcPr>
          <w:p>
            <w:pPr>
              <w:pStyle w:val="TableParagraph"/>
              <w:rPr>
                <w:sz w:val="18"/>
              </w:rPr>
            </w:pPr>
          </w:p>
        </w:tc>
      </w:tr>
      <w:tr>
        <w:trPr>
          <w:trHeight w:val="322" w:hRule="atLeast"/>
        </w:trPr>
        <w:tc>
          <w:tcPr>
            <w:tcW w:w="948" w:type="dxa"/>
            <w:vMerge/>
            <w:tcBorders>
              <w:top w:val="nil"/>
            </w:tcBorders>
          </w:tcPr>
          <w:p>
            <w:pPr>
              <w:rPr>
                <w:sz w:val="2"/>
                <w:szCs w:val="2"/>
              </w:rPr>
            </w:pPr>
          </w:p>
        </w:tc>
        <w:tc>
          <w:tcPr>
            <w:tcW w:w="1670" w:type="dxa"/>
          </w:tcPr>
          <w:p>
            <w:pPr>
              <w:pStyle w:val="TableParagraph"/>
              <w:spacing w:line="162" w:lineRule="exact"/>
              <w:ind w:left="71" w:right="228"/>
              <w:rPr>
                <w:sz w:val="14"/>
              </w:rPr>
            </w:pPr>
            <w:r>
              <w:rPr>
                <w:w w:val="105"/>
                <w:sz w:val="14"/>
              </w:rPr>
              <w:t>Aparcamiento</w:t>
            </w:r>
            <w:r>
              <w:rPr>
                <w:spacing w:val="-10"/>
                <w:w w:val="105"/>
                <w:sz w:val="14"/>
              </w:rPr>
              <w:t> </w:t>
            </w:r>
            <w:r>
              <w:rPr>
                <w:w w:val="105"/>
                <w:sz w:val="14"/>
              </w:rPr>
              <w:t>estación</w:t>
            </w:r>
            <w:r>
              <w:rPr>
                <w:spacing w:val="40"/>
                <w:w w:val="105"/>
                <w:sz w:val="14"/>
              </w:rPr>
              <w:t> </w:t>
            </w:r>
            <w:r>
              <w:rPr>
                <w:spacing w:val="-2"/>
                <w:w w:val="105"/>
                <w:sz w:val="14"/>
              </w:rPr>
              <w:t>intermodal</w:t>
            </w:r>
          </w:p>
        </w:tc>
        <w:tc>
          <w:tcPr>
            <w:tcW w:w="704" w:type="dxa"/>
          </w:tcPr>
          <w:p>
            <w:pPr>
              <w:pStyle w:val="TableParagraph"/>
              <w:spacing w:before="81"/>
              <w:ind w:right="56"/>
              <w:jc w:val="right"/>
              <w:rPr>
                <w:sz w:val="14"/>
              </w:rPr>
            </w:pPr>
            <w:r>
              <w:rPr>
                <w:spacing w:val="-2"/>
                <w:sz w:val="14"/>
              </w:rPr>
              <w:t>8,320</w:t>
            </w:r>
          </w:p>
        </w:tc>
        <w:tc>
          <w:tcPr>
            <w:tcW w:w="836" w:type="dxa"/>
          </w:tcPr>
          <w:p>
            <w:pPr>
              <w:pStyle w:val="TableParagraph"/>
              <w:rPr>
                <w:sz w:val="18"/>
              </w:rPr>
            </w:pPr>
          </w:p>
        </w:tc>
        <w:tc>
          <w:tcPr>
            <w:tcW w:w="731" w:type="dxa"/>
          </w:tcPr>
          <w:p>
            <w:pPr>
              <w:pStyle w:val="TableParagraph"/>
              <w:spacing w:before="81"/>
              <w:ind w:left="293"/>
              <w:jc w:val="center"/>
              <w:rPr>
                <w:sz w:val="14"/>
              </w:rPr>
            </w:pPr>
            <w:r>
              <w:rPr>
                <w:spacing w:val="-2"/>
                <w:sz w:val="14"/>
              </w:rPr>
              <w:t>8,320</w:t>
            </w:r>
          </w:p>
        </w:tc>
        <w:tc>
          <w:tcPr>
            <w:tcW w:w="594" w:type="dxa"/>
          </w:tcPr>
          <w:p>
            <w:pPr>
              <w:pStyle w:val="TableParagraph"/>
              <w:rPr>
                <w:sz w:val="18"/>
              </w:rPr>
            </w:pPr>
          </w:p>
        </w:tc>
        <w:tc>
          <w:tcPr>
            <w:tcW w:w="594" w:type="dxa"/>
          </w:tcPr>
          <w:p>
            <w:pPr>
              <w:pStyle w:val="TableParagraph"/>
              <w:spacing w:before="81"/>
              <w:ind w:left="161"/>
              <w:jc w:val="center"/>
              <w:rPr>
                <w:sz w:val="14"/>
              </w:rPr>
            </w:pPr>
            <w:r>
              <w:rPr>
                <w:spacing w:val="-2"/>
                <w:sz w:val="14"/>
              </w:rPr>
              <w:t>1,935</w:t>
            </w:r>
          </w:p>
        </w:tc>
        <w:tc>
          <w:tcPr>
            <w:tcW w:w="632" w:type="dxa"/>
          </w:tcPr>
          <w:p>
            <w:pPr>
              <w:pStyle w:val="TableParagraph"/>
              <w:spacing w:before="81"/>
              <w:ind w:left="202"/>
              <w:jc w:val="center"/>
              <w:rPr>
                <w:sz w:val="14"/>
              </w:rPr>
            </w:pPr>
            <w:r>
              <w:rPr>
                <w:spacing w:val="-2"/>
                <w:sz w:val="14"/>
              </w:rPr>
              <w:t>2,133</w:t>
            </w:r>
          </w:p>
        </w:tc>
        <w:tc>
          <w:tcPr>
            <w:tcW w:w="561" w:type="dxa"/>
          </w:tcPr>
          <w:p>
            <w:pPr>
              <w:pStyle w:val="TableParagraph"/>
              <w:spacing w:before="81"/>
              <w:ind w:left="135"/>
              <w:jc w:val="center"/>
              <w:rPr>
                <w:sz w:val="14"/>
              </w:rPr>
            </w:pPr>
            <w:r>
              <w:rPr>
                <w:spacing w:val="-2"/>
                <w:sz w:val="14"/>
              </w:rPr>
              <w:t>2,185</w:t>
            </w:r>
          </w:p>
        </w:tc>
        <w:tc>
          <w:tcPr>
            <w:tcW w:w="524" w:type="dxa"/>
          </w:tcPr>
          <w:p>
            <w:pPr>
              <w:pStyle w:val="TableParagraph"/>
              <w:spacing w:before="81"/>
              <w:ind w:left="101"/>
              <w:jc w:val="center"/>
              <w:rPr>
                <w:sz w:val="14"/>
              </w:rPr>
            </w:pPr>
            <w:r>
              <w:rPr>
                <w:spacing w:val="-2"/>
                <w:sz w:val="14"/>
              </w:rPr>
              <w:t>2,067</w:t>
            </w:r>
          </w:p>
        </w:tc>
        <w:tc>
          <w:tcPr>
            <w:tcW w:w="498" w:type="dxa"/>
          </w:tcPr>
          <w:p>
            <w:pPr>
              <w:pStyle w:val="TableParagraph"/>
              <w:rPr>
                <w:sz w:val="18"/>
              </w:rPr>
            </w:pPr>
          </w:p>
        </w:tc>
        <w:tc>
          <w:tcPr>
            <w:tcW w:w="452" w:type="dxa"/>
          </w:tcPr>
          <w:p>
            <w:pPr>
              <w:pStyle w:val="TableParagraph"/>
              <w:rPr>
                <w:sz w:val="18"/>
              </w:rPr>
            </w:pPr>
          </w:p>
        </w:tc>
        <w:tc>
          <w:tcPr>
            <w:tcW w:w="452" w:type="dxa"/>
          </w:tcPr>
          <w:p>
            <w:pPr>
              <w:pStyle w:val="TableParagraph"/>
              <w:rPr>
                <w:sz w:val="18"/>
              </w:rPr>
            </w:pPr>
          </w:p>
        </w:tc>
        <w:tc>
          <w:tcPr>
            <w:tcW w:w="519" w:type="dxa"/>
          </w:tcPr>
          <w:p>
            <w:pPr>
              <w:pStyle w:val="TableParagraph"/>
              <w:rPr>
                <w:sz w:val="18"/>
              </w:rPr>
            </w:pPr>
          </w:p>
        </w:tc>
        <w:tc>
          <w:tcPr>
            <w:tcW w:w="563" w:type="dxa"/>
          </w:tcPr>
          <w:p>
            <w:pPr>
              <w:pStyle w:val="TableParagraph"/>
              <w:rPr>
                <w:sz w:val="18"/>
              </w:rPr>
            </w:pPr>
          </w:p>
        </w:tc>
      </w:tr>
      <w:tr>
        <w:trPr>
          <w:trHeight w:val="319" w:hRule="atLeast"/>
        </w:trPr>
        <w:tc>
          <w:tcPr>
            <w:tcW w:w="948" w:type="dxa"/>
            <w:vMerge/>
            <w:tcBorders>
              <w:top w:val="nil"/>
            </w:tcBorders>
          </w:tcPr>
          <w:p>
            <w:pPr>
              <w:rPr>
                <w:sz w:val="2"/>
                <w:szCs w:val="2"/>
              </w:rPr>
            </w:pPr>
          </w:p>
        </w:tc>
        <w:tc>
          <w:tcPr>
            <w:tcW w:w="1670" w:type="dxa"/>
          </w:tcPr>
          <w:p>
            <w:pPr>
              <w:pStyle w:val="TableParagraph"/>
              <w:spacing w:line="160" w:lineRule="exact"/>
              <w:ind w:left="473" w:right="73" w:hanging="202"/>
              <w:rPr>
                <w:b/>
                <w:sz w:val="14"/>
              </w:rPr>
            </w:pPr>
            <w:r>
              <w:rPr>
                <w:b/>
                <w:spacing w:val="-2"/>
                <w:w w:val="105"/>
                <w:sz w:val="14"/>
              </w:rPr>
              <w:t>Total</w:t>
            </w:r>
            <w:r>
              <w:rPr>
                <w:b/>
                <w:spacing w:val="-8"/>
                <w:w w:val="105"/>
                <w:sz w:val="14"/>
              </w:rPr>
              <w:t> </w:t>
            </w:r>
            <w:r>
              <w:rPr>
                <w:b/>
                <w:spacing w:val="-2"/>
                <w:w w:val="105"/>
                <w:sz w:val="14"/>
              </w:rPr>
              <w:t>Actuaciones</w:t>
            </w:r>
            <w:r>
              <w:rPr>
                <w:b/>
                <w:spacing w:val="40"/>
                <w:w w:val="105"/>
                <w:sz w:val="14"/>
              </w:rPr>
              <w:t> </w:t>
            </w:r>
            <w:r>
              <w:rPr>
                <w:b/>
                <w:spacing w:val="-2"/>
                <w:w w:val="105"/>
                <w:sz w:val="14"/>
              </w:rPr>
              <w:t>Integración</w:t>
            </w:r>
          </w:p>
        </w:tc>
        <w:tc>
          <w:tcPr>
            <w:tcW w:w="704" w:type="dxa"/>
          </w:tcPr>
          <w:p>
            <w:pPr>
              <w:pStyle w:val="TableParagraph"/>
              <w:spacing w:before="78"/>
              <w:ind w:right="56"/>
              <w:jc w:val="right"/>
              <w:rPr>
                <w:b/>
                <w:sz w:val="14"/>
              </w:rPr>
            </w:pPr>
            <w:r>
              <w:rPr>
                <w:b/>
                <w:spacing w:val="-2"/>
                <w:sz w:val="14"/>
              </w:rPr>
              <w:t>574,200</w:t>
            </w:r>
          </w:p>
        </w:tc>
        <w:tc>
          <w:tcPr>
            <w:tcW w:w="836" w:type="dxa"/>
          </w:tcPr>
          <w:p>
            <w:pPr>
              <w:pStyle w:val="TableParagraph"/>
              <w:spacing w:before="78"/>
              <w:ind w:right="56"/>
              <w:jc w:val="right"/>
              <w:rPr>
                <w:b/>
                <w:sz w:val="14"/>
              </w:rPr>
            </w:pPr>
            <w:r>
              <w:rPr>
                <w:b/>
                <w:spacing w:val="-2"/>
                <w:sz w:val="14"/>
              </w:rPr>
              <w:t>39,360</w:t>
            </w:r>
          </w:p>
        </w:tc>
        <w:tc>
          <w:tcPr>
            <w:tcW w:w="731" w:type="dxa"/>
          </w:tcPr>
          <w:p>
            <w:pPr>
              <w:pStyle w:val="TableParagraph"/>
              <w:spacing w:before="78"/>
              <w:ind w:left="152"/>
              <w:jc w:val="center"/>
              <w:rPr>
                <w:b/>
                <w:sz w:val="14"/>
              </w:rPr>
            </w:pPr>
            <w:r>
              <w:rPr>
                <w:b/>
                <w:spacing w:val="-2"/>
                <w:sz w:val="14"/>
              </w:rPr>
              <w:t>534,840</w:t>
            </w:r>
          </w:p>
        </w:tc>
        <w:tc>
          <w:tcPr>
            <w:tcW w:w="594" w:type="dxa"/>
          </w:tcPr>
          <w:p>
            <w:pPr>
              <w:pStyle w:val="TableParagraph"/>
              <w:spacing w:before="78"/>
              <w:ind w:right="53"/>
              <w:jc w:val="right"/>
              <w:rPr>
                <w:b/>
                <w:sz w:val="14"/>
              </w:rPr>
            </w:pPr>
            <w:r>
              <w:rPr>
                <w:b/>
                <w:spacing w:val="-2"/>
                <w:sz w:val="14"/>
              </w:rPr>
              <w:t>158,829</w:t>
            </w:r>
          </w:p>
        </w:tc>
        <w:tc>
          <w:tcPr>
            <w:tcW w:w="594" w:type="dxa"/>
          </w:tcPr>
          <w:p>
            <w:pPr>
              <w:pStyle w:val="TableParagraph"/>
              <w:spacing w:before="78"/>
              <w:ind w:left="20"/>
              <w:jc w:val="center"/>
              <w:rPr>
                <w:b/>
                <w:sz w:val="14"/>
              </w:rPr>
            </w:pPr>
            <w:r>
              <w:rPr>
                <w:b/>
                <w:spacing w:val="-2"/>
                <w:sz w:val="14"/>
              </w:rPr>
              <w:t>117,655</w:t>
            </w:r>
          </w:p>
        </w:tc>
        <w:tc>
          <w:tcPr>
            <w:tcW w:w="632" w:type="dxa"/>
          </w:tcPr>
          <w:p>
            <w:pPr>
              <w:pStyle w:val="TableParagraph"/>
              <w:spacing w:before="78"/>
              <w:ind w:left="61"/>
              <w:jc w:val="center"/>
              <w:rPr>
                <w:b/>
                <w:sz w:val="14"/>
              </w:rPr>
            </w:pPr>
            <w:r>
              <w:rPr>
                <w:b/>
                <w:spacing w:val="-2"/>
                <w:sz w:val="14"/>
              </w:rPr>
              <w:t>142,120</w:t>
            </w:r>
          </w:p>
        </w:tc>
        <w:tc>
          <w:tcPr>
            <w:tcW w:w="561" w:type="dxa"/>
          </w:tcPr>
          <w:p>
            <w:pPr>
              <w:pStyle w:val="TableParagraph"/>
              <w:spacing w:before="78"/>
              <w:ind w:left="63"/>
              <w:jc w:val="center"/>
              <w:rPr>
                <w:b/>
                <w:sz w:val="14"/>
              </w:rPr>
            </w:pPr>
            <w:r>
              <w:rPr>
                <w:b/>
                <w:spacing w:val="-2"/>
                <w:sz w:val="14"/>
              </w:rPr>
              <w:t>71,681</w:t>
            </w:r>
          </w:p>
        </w:tc>
        <w:tc>
          <w:tcPr>
            <w:tcW w:w="524" w:type="dxa"/>
          </w:tcPr>
          <w:p>
            <w:pPr>
              <w:pStyle w:val="TableParagraph"/>
              <w:spacing w:before="78"/>
              <w:ind w:left="30"/>
              <w:jc w:val="center"/>
              <w:rPr>
                <w:b/>
                <w:sz w:val="14"/>
              </w:rPr>
            </w:pPr>
            <w:r>
              <w:rPr>
                <w:b/>
                <w:spacing w:val="-2"/>
                <w:sz w:val="14"/>
              </w:rPr>
              <w:t>44,555</w:t>
            </w:r>
          </w:p>
        </w:tc>
        <w:tc>
          <w:tcPr>
            <w:tcW w:w="498" w:type="dxa"/>
          </w:tcPr>
          <w:p>
            <w:pPr>
              <w:pStyle w:val="TableParagraph"/>
              <w:spacing w:before="78"/>
              <w:ind w:left="78"/>
              <w:jc w:val="center"/>
              <w:rPr>
                <w:b/>
                <w:sz w:val="14"/>
              </w:rPr>
            </w:pPr>
            <w:r>
              <w:rPr>
                <w:b/>
                <w:spacing w:val="-2"/>
                <w:sz w:val="14"/>
              </w:rPr>
              <w:t>0,000</w:t>
            </w:r>
          </w:p>
        </w:tc>
        <w:tc>
          <w:tcPr>
            <w:tcW w:w="452" w:type="dxa"/>
          </w:tcPr>
          <w:p>
            <w:pPr>
              <w:pStyle w:val="TableParagraph"/>
              <w:spacing w:before="78"/>
              <w:ind w:left="46" w:right="6"/>
              <w:jc w:val="center"/>
              <w:rPr>
                <w:b/>
                <w:sz w:val="14"/>
              </w:rPr>
            </w:pPr>
            <w:r>
              <w:rPr>
                <w:b/>
                <w:spacing w:val="-2"/>
                <w:sz w:val="14"/>
              </w:rPr>
              <w:t>0,000</w:t>
            </w:r>
          </w:p>
        </w:tc>
        <w:tc>
          <w:tcPr>
            <w:tcW w:w="452" w:type="dxa"/>
          </w:tcPr>
          <w:p>
            <w:pPr>
              <w:pStyle w:val="TableParagraph"/>
              <w:spacing w:before="78"/>
              <w:ind w:left="46"/>
              <w:jc w:val="center"/>
              <w:rPr>
                <w:b/>
                <w:sz w:val="14"/>
              </w:rPr>
            </w:pPr>
            <w:r>
              <w:rPr>
                <w:b/>
                <w:spacing w:val="-2"/>
                <w:sz w:val="14"/>
              </w:rPr>
              <w:t>0,000</w:t>
            </w:r>
          </w:p>
        </w:tc>
        <w:tc>
          <w:tcPr>
            <w:tcW w:w="519" w:type="dxa"/>
          </w:tcPr>
          <w:p>
            <w:pPr>
              <w:pStyle w:val="TableParagraph"/>
              <w:spacing w:before="78"/>
              <w:ind w:left="116"/>
              <w:jc w:val="center"/>
              <w:rPr>
                <w:b/>
                <w:sz w:val="14"/>
              </w:rPr>
            </w:pPr>
            <w:r>
              <w:rPr>
                <w:b/>
                <w:spacing w:val="-2"/>
                <w:sz w:val="14"/>
              </w:rPr>
              <w:t>0,000</w:t>
            </w:r>
          </w:p>
        </w:tc>
        <w:tc>
          <w:tcPr>
            <w:tcW w:w="563" w:type="dxa"/>
          </w:tcPr>
          <w:p>
            <w:pPr>
              <w:pStyle w:val="TableParagraph"/>
              <w:spacing w:before="78"/>
              <w:ind w:left="203"/>
              <w:rPr>
                <w:b/>
                <w:sz w:val="14"/>
              </w:rPr>
            </w:pPr>
            <w:r>
              <w:rPr>
                <w:b/>
                <w:spacing w:val="-2"/>
                <w:sz w:val="14"/>
              </w:rPr>
              <w:t>0,000</w:t>
            </w:r>
          </w:p>
        </w:tc>
      </w:tr>
      <w:tr>
        <w:trPr>
          <w:trHeight w:val="221" w:hRule="atLeast"/>
        </w:trPr>
        <w:tc>
          <w:tcPr>
            <w:tcW w:w="10278" w:type="dxa"/>
            <w:gridSpan w:val="15"/>
          </w:tcPr>
          <w:p>
            <w:pPr>
              <w:pStyle w:val="TableParagraph"/>
              <w:rPr>
                <w:sz w:val="14"/>
              </w:rPr>
            </w:pPr>
          </w:p>
        </w:tc>
      </w:tr>
      <w:tr>
        <w:trPr>
          <w:trHeight w:val="220" w:hRule="atLeast"/>
        </w:trPr>
        <w:tc>
          <w:tcPr>
            <w:tcW w:w="948" w:type="dxa"/>
            <w:vMerge w:val="restart"/>
          </w:tcPr>
          <w:p>
            <w:pPr>
              <w:pStyle w:val="TableParagraph"/>
              <w:spacing w:before="115"/>
              <w:ind w:left="69" w:firstLine="42"/>
              <w:rPr>
                <w:b/>
                <w:sz w:val="14"/>
              </w:rPr>
            </w:pPr>
            <w:r>
              <w:rPr>
                <w:b/>
                <w:spacing w:val="-2"/>
                <w:sz w:val="14"/>
              </w:rPr>
              <w:t>Actuaciones</w:t>
            </w:r>
            <w:r>
              <w:rPr>
                <w:b/>
                <w:spacing w:val="40"/>
                <w:sz w:val="14"/>
              </w:rPr>
              <w:t> </w:t>
            </w:r>
            <w:r>
              <w:rPr>
                <w:b/>
                <w:spacing w:val="-2"/>
                <w:sz w:val="14"/>
              </w:rPr>
              <w:t>Urbanización</w:t>
            </w:r>
          </w:p>
        </w:tc>
        <w:tc>
          <w:tcPr>
            <w:tcW w:w="1670" w:type="dxa"/>
          </w:tcPr>
          <w:p>
            <w:pPr>
              <w:pStyle w:val="TableParagraph"/>
              <w:spacing w:before="30"/>
              <w:ind w:left="71"/>
              <w:rPr>
                <w:sz w:val="14"/>
              </w:rPr>
            </w:pPr>
            <w:r>
              <w:rPr>
                <w:spacing w:val="-2"/>
                <w:w w:val="105"/>
                <w:sz w:val="14"/>
              </w:rPr>
              <w:t>Urbanización</w:t>
            </w:r>
          </w:p>
        </w:tc>
        <w:tc>
          <w:tcPr>
            <w:tcW w:w="704" w:type="dxa"/>
          </w:tcPr>
          <w:p>
            <w:pPr>
              <w:pStyle w:val="TableParagraph"/>
              <w:spacing w:before="30"/>
              <w:ind w:right="56"/>
              <w:jc w:val="right"/>
              <w:rPr>
                <w:sz w:val="14"/>
              </w:rPr>
            </w:pPr>
            <w:r>
              <w:rPr>
                <w:spacing w:val="-2"/>
                <w:sz w:val="14"/>
              </w:rPr>
              <w:t>38,900</w:t>
            </w:r>
          </w:p>
        </w:tc>
        <w:tc>
          <w:tcPr>
            <w:tcW w:w="836" w:type="dxa"/>
          </w:tcPr>
          <w:p>
            <w:pPr>
              <w:pStyle w:val="TableParagraph"/>
              <w:spacing w:before="30"/>
              <w:ind w:right="55"/>
              <w:jc w:val="right"/>
              <w:rPr>
                <w:sz w:val="14"/>
              </w:rPr>
            </w:pPr>
            <w:r>
              <w:rPr>
                <w:spacing w:val="-2"/>
                <w:sz w:val="14"/>
              </w:rPr>
              <w:t>0,500</w:t>
            </w:r>
          </w:p>
        </w:tc>
        <w:tc>
          <w:tcPr>
            <w:tcW w:w="731" w:type="dxa"/>
          </w:tcPr>
          <w:p>
            <w:pPr>
              <w:pStyle w:val="TableParagraph"/>
              <w:spacing w:before="30"/>
              <w:ind w:left="222"/>
              <w:jc w:val="center"/>
              <w:rPr>
                <w:sz w:val="14"/>
              </w:rPr>
            </w:pPr>
            <w:r>
              <w:rPr>
                <w:spacing w:val="-2"/>
                <w:sz w:val="14"/>
              </w:rPr>
              <w:t>38,400</w:t>
            </w:r>
          </w:p>
        </w:tc>
        <w:tc>
          <w:tcPr>
            <w:tcW w:w="594" w:type="dxa"/>
          </w:tcPr>
          <w:p>
            <w:pPr>
              <w:pStyle w:val="TableParagraph"/>
              <w:spacing w:before="30"/>
              <w:ind w:right="53"/>
              <w:jc w:val="right"/>
              <w:rPr>
                <w:sz w:val="14"/>
              </w:rPr>
            </w:pPr>
            <w:r>
              <w:rPr>
                <w:spacing w:val="-2"/>
                <w:sz w:val="14"/>
              </w:rPr>
              <w:t>2,500</w:t>
            </w:r>
          </w:p>
        </w:tc>
        <w:tc>
          <w:tcPr>
            <w:tcW w:w="594" w:type="dxa"/>
          </w:tcPr>
          <w:p>
            <w:pPr>
              <w:pStyle w:val="TableParagraph"/>
              <w:spacing w:before="30"/>
              <w:ind w:left="161"/>
              <w:jc w:val="center"/>
              <w:rPr>
                <w:sz w:val="14"/>
              </w:rPr>
            </w:pPr>
            <w:r>
              <w:rPr>
                <w:spacing w:val="-2"/>
                <w:sz w:val="14"/>
              </w:rPr>
              <w:t>9,500</w:t>
            </w:r>
          </w:p>
        </w:tc>
        <w:tc>
          <w:tcPr>
            <w:tcW w:w="632" w:type="dxa"/>
          </w:tcPr>
          <w:p>
            <w:pPr>
              <w:pStyle w:val="TableParagraph"/>
              <w:spacing w:before="30"/>
              <w:ind w:left="131"/>
              <w:jc w:val="center"/>
              <w:rPr>
                <w:sz w:val="14"/>
              </w:rPr>
            </w:pPr>
            <w:r>
              <w:rPr>
                <w:spacing w:val="-2"/>
                <w:sz w:val="14"/>
              </w:rPr>
              <w:t>10,500</w:t>
            </w:r>
          </w:p>
        </w:tc>
        <w:tc>
          <w:tcPr>
            <w:tcW w:w="561" w:type="dxa"/>
          </w:tcPr>
          <w:p>
            <w:pPr>
              <w:pStyle w:val="TableParagraph"/>
              <w:spacing w:before="30"/>
              <w:ind w:left="63"/>
              <w:jc w:val="center"/>
              <w:rPr>
                <w:sz w:val="14"/>
              </w:rPr>
            </w:pPr>
            <w:r>
              <w:rPr>
                <w:spacing w:val="-2"/>
                <w:sz w:val="14"/>
              </w:rPr>
              <w:t>10,200</w:t>
            </w:r>
          </w:p>
        </w:tc>
        <w:tc>
          <w:tcPr>
            <w:tcW w:w="524" w:type="dxa"/>
          </w:tcPr>
          <w:p>
            <w:pPr>
              <w:pStyle w:val="TableParagraph"/>
              <w:spacing w:before="30"/>
              <w:ind w:left="101"/>
              <w:jc w:val="center"/>
              <w:rPr>
                <w:sz w:val="14"/>
              </w:rPr>
            </w:pPr>
            <w:r>
              <w:rPr>
                <w:spacing w:val="-2"/>
                <w:sz w:val="14"/>
              </w:rPr>
              <w:t>5,700</w:t>
            </w:r>
          </w:p>
        </w:tc>
        <w:tc>
          <w:tcPr>
            <w:tcW w:w="498" w:type="dxa"/>
          </w:tcPr>
          <w:p>
            <w:pPr>
              <w:pStyle w:val="TableParagraph"/>
              <w:rPr>
                <w:sz w:val="14"/>
              </w:rPr>
            </w:pPr>
          </w:p>
        </w:tc>
        <w:tc>
          <w:tcPr>
            <w:tcW w:w="452" w:type="dxa"/>
          </w:tcPr>
          <w:p>
            <w:pPr>
              <w:pStyle w:val="TableParagraph"/>
              <w:rPr>
                <w:sz w:val="14"/>
              </w:rPr>
            </w:pPr>
          </w:p>
        </w:tc>
        <w:tc>
          <w:tcPr>
            <w:tcW w:w="452" w:type="dxa"/>
          </w:tcPr>
          <w:p>
            <w:pPr>
              <w:pStyle w:val="TableParagraph"/>
              <w:rPr>
                <w:sz w:val="14"/>
              </w:rPr>
            </w:pPr>
          </w:p>
        </w:tc>
        <w:tc>
          <w:tcPr>
            <w:tcW w:w="519" w:type="dxa"/>
          </w:tcPr>
          <w:p>
            <w:pPr>
              <w:pStyle w:val="TableParagraph"/>
              <w:rPr>
                <w:sz w:val="14"/>
              </w:rPr>
            </w:pPr>
          </w:p>
        </w:tc>
        <w:tc>
          <w:tcPr>
            <w:tcW w:w="563" w:type="dxa"/>
          </w:tcPr>
          <w:p>
            <w:pPr>
              <w:pStyle w:val="TableParagraph"/>
              <w:rPr>
                <w:sz w:val="14"/>
              </w:rPr>
            </w:pPr>
          </w:p>
        </w:tc>
      </w:tr>
      <w:tr>
        <w:trPr>
          <w:trHeight w:val="322" w:hRule="atLeast"/>
        </w:trPr>
        <w:tc>
          <w:tcPr>
            <w:tcW w:w="948" w:type="dxa"/>
            <w:vMerge/>
            <w:tcBorders>
              <w:top w:val="nil"/>
            </w:tcBorders>
          </w:tcPr>
          <w:p>
            <w:pPr>
              <w:rPr>
                <w:sz w:val="2"/>
                <w:szCs w:val="2"/>
              </w:rPr>
            </w:pPr>
          </w:p>
        </w:tc>
        <w:tc>
          <w:tcPr>
            <w:tcW w:w="1670" w:type="dxa"/>
          </w:tcPr>
          <w:p>
            <w:pPr>
              <w:pStyle w:val="TableParagraph"/>
              <w:spacing w:line="160" w:lineRule="atLeast"/>
              <w:ind w:left="552" w:right="275" w:hanging="256"/>
              <w:rPr>
                <w:b/>
                <w:sz w:val="14"/>
              </w:rPr>
            </w:pPr>
            <w:r>
              <w:rPr>
                <w:b/>
                <w:sz w:val="14"/>
              </w:rPr>
              <w:t>Total</w:t>
            </w:r>
            <w:r>
              <w:rPr>
                <w:b/>
                <w:spacing w:val="-9"/>
                <w:sz w:val="14"/>
              </w:rPr>
              <w:t> </w:t>
            </w:r>
            <w:r>
              <w:rPr>
                <w:b/>
                <w:sz w:val="14"/>
              </w:rPr>
              <w:t>Actuaciones</w:t>
            </w:r>
            <w:r>
              <w:rPr>
                <w:b/>
                <w:spacing w:val="40"/>
                <w:sz w:val="14"/>
              </w:rPr>
              <w:t> </w:t>
            </w:r>
            <w:r>
              <w:rPr>
                <w:b/>
                <w:spacing w:val="-2"/>
                <w:sz w:val="14"/>
              </w:rPr>
              <w:t>Convenio</w:t>
            </w:r>
          </w:p>
        </w:tc>
        <w:tc>
          <w:tcPr>
            <w:tcW w:w="704" w:type="dxa"/>
          </w:tcPr>
          <w:p>
            <w:pPr>
              <w:pStyle w:val="TableParagraph"/>
              <w:spacing w:before="81"/>
              <w:ind w:right="56"/>
              <w:jc w:val="right"/>
              <w:rPr>
                <w:b/>
                <w:sz w:val="14"/>
              </w:rPr>
            </w:pPr>
            <w:r>
              <w:rPr>
                <w:b/>
                <w:spacing w:val="-2"/>
                <w:sz w:val="14"/>
              </w:rPr>
              <w:t>613,100</w:t>
            </w:r>
          </w:p>
        </w:tc>
        <w:tc>
          <w:tcPr>
            <w:tcW w:w="836" w:type="dxa"/>
          </w:tcPr>
          <w:p>
            <w:pPr>
              <w:pStyle w:val="TableParagraph"/>
              <w:spacing w:before="81"/>
              <w:ind w:right="56"/>
              <w:jc w:val="right"/>
              <w:rPr>
                <w:b/>
                <w:sz w:val="14"/>
              </w:rPr>
            </w:pPr>
            <w:r>
              <w:rPr>
                <w:b/>
                <w:spacing w:val="-2"/>
                <w:sz w:val="14"/>
              </w:rPr>
              <w:t>39,860</w:t>
            </w:r>
          </w:p>
        </w:tc>
        <w:tc>
          <w:tcPr>
            <w:tcW w:w="731" w:type="dxa"/>
          </w:tcPr>
          <w:p>
            <w:pPr>
              <w:pStyle w:val="TableParagraph"/>
              <w:spacing w:before="81"/>
              <w:ind w:left="152"/>
              <w:jc w:val="center"/>
              <w:rPr>
                <w:b/>
                <w:sz w:val="14"/>
              </w:rPr>
            </w:pPr>
            <w:r>
              <w:rPr>
                <w:b/>
                <w:spacing w:val="-2"/>
                <w:sz w:val="14"/>
              </w:rPr>
              <w:t>573,240</w:t>
            </w:r>
          </w:p>
        </w:tc>
        <w:tc>
          <w:tcPr>
            <w:tcW w:w="594" w:type="dxa"/>
          </w:tcPr>
          <w:p>
            <w:pPr>
              <w:pStyle w:val="TableParagraph"/>
              <w:spacing w:before="81"/>
              <w:ind w:right="53"/>
              <w:jc w:val="right"/>
              <w:rPr>
                <w:b/>
                <w:sz w:val="14"/>
              </w:rPr>
            </w:pPr>
            <w:r>
              <w:rPr>
                <w:b/>
                <w:spacing w:val="-2"/>
                <w:sz w:val="14"/>
              </w:rPr>
              <w:t>161,329</w:t>
            </w:r>
          </w:p>
        </w:tc>
        <w:tc>
          <w:tcPr>
            <w:tcW w:w="594" w:type="dxa"/>
          </w:tcPr>
          <w:p>
            <w:pPr>
              <w:pStyle w:val="TableParagraph"/>
              <w:spacing w:before="81"/>
              <w:ind w:left="20"/>
              <w:jc w:val="center"/>
              <w:rPr>
                <w:b/>
                <w:sz w:val="14"/>
              </w:rPr>
            </w:pPr>
            <w:r>
              <w:rPr>
                <w:b/>
                <w:spacing w:val="-2"/>
                <w:sz w:val="14"/>
              </w:rPr>
              <w:t>127,155</w:t>
            </w:r>
          </w:p>
        </w:tc>
        <w:tc>
          <w:tcPr>
            <w:tcW w:w="632" w:type="dxa"/>
          </w:tcPr>
          <w:p>
            <w:pPr>
              <w:pStyle w:val="TableParagraph"/>
              <w:spacing w:before="81"/>
              <w:ind w:left="61"/>
              <w:jc w:val="center"/>
              <w:rPr>
                <w:b/>
                <w:sz w:val="14"/>
              </w:rPr>
            </w:pPr>
            <w:r>
              <w:rPr>
                <w:b/>
                <w:spacing w:val="-2"/>
                <w:sz w:val="14"/>
              </w:rPr>
              <w:t>152,620</w:t>
            </w:r>
          </w:p>
        </w:tc>
        <w:tc>
          <w:tcPr>
            <w:tcW w:w="561" w:type="dxa"/>
          </w:tcPr>
          <w:p>
            <w:pPr>
              <w:pStyle w:val="TableParagraph"/>
              <w:spacing w:before="81"/>
              <w:ind w:left="63"/>
              <w:jc w:val="center"/>
              <w:rPr>
                <w:b/>
                <w:sz w:val="14"/>
              </w:rPr>
            </w:pPr>
            <w:r>
              <w:rPr>
                <w:b/>
                <w:spacing w:val="-2"/>
                <w:sz w:val="14"/>
              </w:rPr>
              <w:t>81,881</w:t>
            </w:r>
          </w:p>
        </w:tc>
        <w:tc>
          <w:tcPr>
            <w:tcW w:w="524" w:type="dxa"/>
          </w:tcPr>
          <w:p>
            <w:pPr>
              <w:pStyle w:val="TableParagraph"/>
              <w:spacing w:before="81"/>
              <w:ind w:left="30"/>
              <w:jc w:val="center"/>
              <w:rPr>
                <w:b/>
                <w:sz w:val="14"/>
              </w:rPr>
            </w:pPr>
            <w:r>
              <w:rPr>
                <w:b/>
                <w:spacing w:val="-2"/>
                <w:sz w:val="14"/>
              </w:rPr>
              <w:t>50,255</w:t>
            </w:r>
          </w:p>
        </w:tc>
        <w:tc>
          <w:tcPr>
            <w:tcW w:w="498" w:type="dxa"/>
          </w:tcPr>
          <w:p>
            <w:pPr>
              <w:pStyle w:val="TableParagraph"/>
              <w:spacing w:before="81"/>
              <w:ind w:left="78"/>
              <w:jc w:val="center"/>
              <w:rPr>
                <w:b/>
                <w:sz w:val="14"/>
              </w:rPr>
            </w:pPr>
            <w:r>
              <w:rPr>
                <w:b/>
                <w:spacing w:val="-2"/>
                <w:sz w:val="14"/>
              </w:rPr>
              <w:t>0,000</w:t>
            </w:r>
          </w:p>
        </w:tc>
        <w:tc>
          <w:tcPr>
            <w:tcW w:w="452" w:type="dxa"/>
          </w:tcPr>
          <w:p>
            <w:pPr>
              <w:pStyle w:val="TableParagraph"/>
              <w:spacing w:before="81"/>
              <w:ind w:left="46" w:right="6"/>
              <w:jc w:val="center"/>
              <w:rPr>
                <w:b/>
                <w:sz w:val="14"/>
              </w:rPr>
            </w:pPr>
            <w:r>
              <w:rPr>
                <w:b/>
                <w:spacing w:val="-2"/>
                <w:sz w:val="14"/>
              </w:rPr>
              <w:t>0,000</w:t>
            </w:r>
          </w:p>
        </w:tc>
        <w:tc>
          <w:tcPr>
            <w:tcW w:w="452" w:type="dxa"/>
          </w:tcPr>
          <w:p>
            <w:pPr>
              <w:pStyle w:val="TableParagraph"/>
              <w:spacing w:before="81"/>
              <w:ind w:left="46"/>
              <w:jc w:val="center"/>
              <w:rPr>
                <w:b/>
                <w:sz w:val="14"/>
              </w:rPr>
            </w:pPr>
            <w:r>
              <w:rPr>
                <w:b/>
                <w:spacing w:val="-2"/>
                <w:sz w:val="14"/>
              </w:rPr>
              <w:t>0,000</w:t>
            </w:r>
          </w:p>
        </w:tc>
        <w:tc>
          <w:tcPr>
            <w:tcW w:w="519" w:type="dxa"/>
          </w:tcPr>
          <w:p>
            <w:pPr>
              <w:pStyle w:val="TableParagraph"/>
              <w:spacing w:before="81"/>
              <w:ind w:left="116"/>
              <w:jc w:val="center"/>
              <w:rPr>
                <w:b/>
                <w:sz w:val="14"/>
              </w:rPr>
            </w:pPr>
            <w:r>
              <w:rPr>
                <w:b/>
                <w:spacing w:val="-2"/>
                <w:sz w:val="14"/>
              </w:rPr>
              <w:t>0,000</w:t>
            </w:r>
          </w:p>
        </w:tc>
        <w:tc>
          <w:tcPr>
            <w:tcW w:w="563" w:type="dxa"/>
          </w:tcPr>
          <w:p>
            <w:pPr>
              <w:pStyle w:val="TableParagraph"/>
              <w:spacing w:before="81"/>
              <w:ind w:left="203"/>
              <w:rPr>
                <w:b/>
                <w:sz w:val="14"/>
              </w:rPr>
            </w:pPr>
            <w:r>
              <w:rPr>
                <w:b/>
                <w:spacing w:val="-2"/>
                <w:sz w:val="14"/>
              </w:rPr>
              <w:t>0,000</w:t>
            </w:r>
          </w:p>
        </w:tc>
      </w:tr>
      <w:tr>
        <w:trPr>
          <w:trHeight w:val="221" w:hRule="atLeast"/>
        </w:trPr>
        <w:tc>
          <w:tcPr>
            <w:tcW w:w="948" w:type="dxa"/>
          </w:tcPr>
          <w:p>
            <w:pPr>
              <w:pStyle w:val="TableParagraph"/>
              <w:rPr>
                <w:sz w:val="14"/>
              </w:rPr>
            </w:pPr>
          </w:p>
        </w:tc>
        <w:tc>
          <w:tcPr>
            <w:tcW w:w="1670" w:type="dxa"/>
          </w:tcPr>
          <w:p>
            <w:pPr>
              <w:pStyle w:val="TableParagraph"/>
              <w:spacing w:before="30"/>
              <w:ind w:left="71"/>
              <w:rPr>
                <w:sz w:val="14"/>
              </w:rPr>
            </w:pPr>
            <w:r>
              <w:rPr>
                <w:sz w:val="14"/>
              </w:rPr>
              <w:t>Costes</w:t>
            </w:r>
            <w:r>
              <w:rPr>
                <w:spacing w:val="-3"/>
                <w:sz w:val="14"/>
              </w:rPr>
              <w:t> </w:t>
            </w:r>
            <w:r>
              <w:rPr>
                <w:spacing w:val="-2"/>
                <w:sz w:val="14"/>
              </w:rPr>
              <w:t>Operativos</w:t>
            </w:r>
          </w:p>
        </w:tc>
        <w:tc>
          <w:tcPr>
            <w:tcW w:w="704" w:type="dxa"/>
          </w:tcPr>
          <w:p>
            <w:pPr>
              <w:pStyle w:val="TableParagraph"/>
              <w:spacing w:before="30"/>
              <w:ind w:right="56"/>
              <w:jc w:val="right"/>
              <w:rPr>
                <w:sz w:val="14"/>
              </w:rPr>
            </w:pPr>
            <w:r>
              <w:rPr>
                <w:spacing w:val="-2"/>
                <w:sz w:val="14"/>
              </w:rPr>
              <w:t>3,650</w:t>
            </w:r>
          </w:p>
        </w:tc>
        <w:tc>
          <w:tcPr>
            <w:tcW w:w="836" w:type="dxa"/>
          </w:tcPr>
          <w:p>
            <w:pPr>
              <w:pStyle w:val="TableParagraph"/>
              <w:spacing w:before="30"/>
              <w:ind w:right="55"/>
              <w:jc w:val="right"/>
              <w:rPr>
                <w:sz w:val="14"/>
              </w:rPr>
            </w:pPr>
            <w:r>
              <w:rPr>
                <w:spacing w:val="-2"/>
                <w:sz w:val="14"/>
              </w:rPr>
              <w:t>1,910</w:t>
            </w:r>
          </w:p>
        </w:tc>
        <w:tc>
          <w:tcPr>
            <w:tcW w:w="731" w:type="dxa"/>
          </w:tcPr>
          <w:p>
            <w:pPr>
              <w:pStyle w:val="TableParagraph"/>
              <w:spacing w:before="30"/>
              <w:ind w:left="293"/>
              <w:jc w:val="center"/>
              <w:rPr>
                <w:sz w:val="14"/>
              </w:rPr>
            </w:pPr>
            <w:r>
              <w:rPr>
                <w:spacing w:val="-2"/>
                <w:sz w:val="14"/>
              </w:rPr>
              <w:t>1,740</w:t>
            </w:r>
          </w:p>
        </w:tc>
        <w:tc>
          <w:tcPr>
            <w:tcW w:w="594" w:type="dxa"/>
          </w:tcPr>
          <w:p>
            <w:pPr>
              <w:pStyle w:val="TableParagraph"/>
              <w:spacing w:before="30"/>
              <w:ind w:right="53"/>
              <w:jc w:val="right"/>
              <w:rPr>
                <w:sz w:val="14"/>
              </w:rPr>
            </w:pPr>
            <w:r>
              <w:rPr>
                <w:spacing w:val="-2"/>
                <w:sz w:val="14"/>
              </w:rPr>
              <w:t>0,180</w:t>
            </w:r>
          </w:p>
        </w:tc>
        <w:tc>
          <w:tcPr>
            <w:tcW w:w="594" w:type="dxa"/>
          </w:tcPr>
          <w:p>
            <w:pPr>
              <w:pStyle w:val="TableParagraph"/>
              <w:spacing w:before="30"/>
              <w:ind w:left="161"/>
              <w:jc w:val="center"/>
              <w:rPr>
                <w:sz w:val="14"/>
              </w:rPr>
            </w:pPr>
            <w:r>
              <w:rPr>
                <w:spacing w:val="-2"/>
                <w:sz w:val="14"/>
              </w:rPr>
              <w:t>0,180</w:t>
            </w:r>
          </w:p>
        </w:tc>
        <w:tc>
          <w:tcPr>
            <w:tcW w:w="632" w:type="dxa"/>
          </w:tcPr>
          <w:p>
            <w:pPr>
              <w:pStyle w:val="TableParagraph"/>
              <w:spacing w:before="30"/>
              <w:ind w:left="202"/>
              <w:jc w:val="center"/>
              <w:rPr>
                <w:sz w:val="14"/>
              </w:rPr>
            </w:pPr>
            <w:r>
              <w:rPr>
                <w:spacing w:val="-2"/>
                <w:sz w:val="14"/>
              </w:rPr>
              <w:t>0,200</w:t>
            </w:r>
          </w:p>
        </w:tc>
        <w:tc>
          <w:tcPr>
            <w:tcW w:w="561" w:type="dxa"/>
          </w:tcPr>
          <w:p>
            <w:pPr>
              <w:pStyle w:val="TableParagraph"/>
              <w:spacing w:before="30"/>
              <w:ind w:left="135"/>
              <w:jc w:val="center"/>
              <w:rPr>
                <w:sz w:val="14"/>
              </w:rPr>
            </w:pPr>
            <w:r>
              <w:rPr>
                <w:spacing w:val="-2"/>
                <w:sz w:val="14"/>
              </w:rPr>
              <w:t>0,220</w:t>
            </w:r>
          </w:p>
        </w:tc>
        <w:tc>
          <w:tcPr>
            <w:tcW w:w="524" w:type="dxa"/>
          </w:tcPr>
          <w:p>
            <w:pPr>
              <w:pStyle w:val="TableParagraph"/>
              <w:spacing w:before="30"/>
              <w:ind w:left="101"/>
              <w:jc w:val="center"/>
              <w:rPr>
                <w:sz w:val="14"/>
              </w:rPr>
            </w:pPr>
            <w:r>
              <w:rPr>
                <w:spacing w:val="-2"/>
                <w:sz w:val="14"/>
              </w:rPr>
              <w:t>0,240</w:t>
            </w:r>
          </w:p>
        </w:tc>
        <w:tc>
          <w:tcPr>
            <w:tcW w:w="498" w:type="dxa"/>
          </w:tcPr>
          <w:p>
            <w:pPr>
              <w:pStyle w:val="TableParagraph"/>
              <w:spacing w:before="30"/>
              <w:ind w:left="78"/>
              <w:jc w:val="center"/>
              <w:rPr>
                <w:sz w:val="14"/>
              </w:rPr>
            </w:pPr>
            <w:r>
              <w:rPr>
                <w:spacing w:val="-2"/>
                <w:sz w:val="14"/>
              </w:rPr>
              <w:t>0,144</w:t>
            </w:r>
          </w:p>
        </w:tc>
        <w:tc>
          <w:tcPr>
            <w:tcW w:w="452" w:type="dxa"/>
          </w:tcPr>
          <w:p>
            <w:pPr>
              <w:pStyle w:val="TableParagraph"/>
              <w:spacing w:before="30"/>
              <w:ind w:left="46" w:right="6"/>
              <w:jc w:val="center"/>
              <w:rPr>
                <w:sz w:val="14"/>
              </w:rPr>
            </w:pPr>
            <w:r>
              <w:rPr>
                <w:spacing w:val="-2"/>
                <w:sz w:val="14"/>
              </w:rPr>
              <w:t>0,144</w:t>
            </w:r>
          </w:p>
        </w:tc>
        <w:tc>
          <w:tcPr>
            <w:tcW w:w="452" w:type="dxa"/>
          </w:tcPr>
          <w:p>
            <w:pPr>
              <w:pStyle w:val="TableParagraph"/>
              <w:spacing w:before="30"/>
              <w:ind w:left="46"/>
              <w:jc w:val="center"/>
              <w:rPr>
                <w:sz w:val="14"/>
              </w:rPr>
            </w:pPr>
            <w:r>
              <w:rPr>
                <w:spacing w:val="-2"/>
                <w:sz w:val="14"/>
              </w:rPr>
              <w:t>0,144</w:t>
            </w:r>
          </w:p>
        </w:tc>
        <w:tc>
          <w:tcPr>
            <w:tcW w:w="519" w:type="dxa"/>
          </w:tcPr>
          <w:p>
            <w:pPr>
              <w:pStyle w:val="TableParagraph"/>
              <w:spacing w:before="30"/>
              <w:ind w:left="116"/>
              <w:jc w:val="center"/>
              <w:rPr>
                <w:sz w:val="14"/>
              </w:rPr>
            </w:pPr>
            <w:r>
              <w:rPr>
                <w:spacing w:val="-2"/>
                <w:sz w:val="14"/>
              </w:rPr>
              <w:t>0,144</w:t>
            </w:r>
          </w:p>
        </w:tc>
        <w:tc>
          <w:tcPr>
            <w:tcW w:w="563" w:type="dxa"/>
          </w:tcPr>
          <w:p>
            <w:pPr>
              <w:pStyle w:val="TableParagraph"/>
              <w:spacing w:before="30"/>
              <w:ind w:left="203"/>
              <w:rPr>
                <w:sz w:val="14"/>
              </w:rPr>
            </w:pPr>
            <w:r>
              <w:rPr>
                <w:spacing w:val="-2"/>
                <w:sz w:val="14"/>
              </w:rPr>
              <w:t>0,144</w:t>
            </w:r>
          </w:p>
        </w:tc>
      </w:tr>
    </w:tbl>
    <w:p>
      <w:pPr>
        <w:pStyle w:val="TableParagraph"/>
        <w:spacing w:after="0"/>
        <w:rPr>
          <w:sz w:val="14"/>
        </w:rPr>
        <w:sectPr>
          <w:pgSz w:w="11910" w:h="16840"/>
          <w:pgMar w:header="694" w:footer="690" w:top="1920" w:bottom="880" w:left="708" w:right="425"/>
        </w:sectPr>
      </w:pPr>
    </w:p>
    <w:p>
      <w:pPr>
        <w:pStyle w:val="BodyText"/>
        <w:spacing w:before="2" w:after="1"/>
        <w:rPr>
          <w:sz w:val="16"/>
        </w:rPr>
      </w:pPr>
    </w:p>
    <w:tbl>
      <w:tblPr>
        <w:tblW w:w="0" w:type="auto"/>
        <w:jc w:val="left"/>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8"/>
        <w:gridCol w:w="1670"/>
        <w:gridCol w:w="704"/>
        <w:gridCol w:w="836"/>
        <w:gridCol w:w="731"/>
        <w:gridCol w:w="594"/>
        <w:gridCol w:w="594"/>
        <w:gridCol w:w="632"/>
        <w:gridCol w:w="561"/>
        <w:gridCol w:w="524"/>
        <w:gridCol w:w="498"/>
        <w:gridCol w:w="452"/>
        <w:gridCol w:w="452"/>
        <w:gridCol w:w="519"/>
        <w:gridCol w:w="563"/>
      </w:tblGrid>
      <w:tr>
        <w:trPr>
          <w:trHeight w:val="482" w:hRule="atLeast"/>
        </w:trPr>
        <w:tc>
          <w:tcPr>
            <w:tcW w:w="2618" w:type="dxa"/>
            <w:gridSpan w:val="2"/>
          </w:tcPr>
          <w:p>
            <w:pPr>
              <w:pStyle w:val="TableParagraph"/>
              <w:rPr>
                <w:sz w:val="14"/>
              </w:rPr>
            </w:pPr>
          </w:p>
          <w:p>
            <w:pPr>
              <w:pStyle w:val="TableParagraph"/>
              <w:ind w:left="10"/>
              <w:jc w:val="center"/>
              <w:rPr>
                <w:b/>
                <w:sz w:val="14"/>
              </w:rPr>
            </w:pPr>
            <w:r>
              <w:rPr>
                <w:b/>
                <w:spacing w:val="-2"/>
                <w:sz w:val="14"/>
              </w:rPr>
              <w:t>Actuación</w:t>
            </w:r>
          </w:p>
        </w:tc>
        <w:tc>
          <w:tcPr>
            <w:tcW w:w="704" w:type="dxa"/>
          </w:tcPr>
          <w:p>
            <w:pPr>
              <w:pStyle w:val="TableParagraph"/>
              <w:spacing w:line="162" w:lineRule="exact"/>
              <w:ind w:left="80" w:right="66"/>
              <w:jc w:val="center"/>
              <w:rPr>
                <w:b/>
                <w:sz w:val="14"/>
              </w:rPr>
            </w:pPr>
            <w:r>
              <w:rPr>
                <w:b/>
                <w:spacing w:val="-2"/>
                <w:sz w:val="14"/>
              </w:rPr>
              <w:t>Coste</w:t>
            </w:r>
            <w:r>
              <w:rPr>
                <w:b/>
                <w:spacing w:val="40"/>
                <w:sz w:val="14"/>
              </w:rPr>
              <w:t> </w:t>
            </w:r>
            <w:r>
              <w:rPr>
                <w:b/>
                <w:spacing w:val="-2"/>
                <w:sz w:val="14"/>
              </w:rPr>
              <w:t>total</w:t>
            </w:r>
            <w:r>
              <w:rPr>
                <w:b/>
                <w:spacing w:val="40"/>
                <w:sz w:val="14"/>
              </w:rPr>
              <w:t> </w:t>
            </w:r>
            <w:r>
              <w:rPr>
                <w:b/>
                <w:spacing w:val="-2"/>
                <w:sz w:val="14"/>
              </w:rPr>
              <w:t>estimado</w:t>
            </w:r>
          </w:p>
        </w:tc>
        <w:tc>
          <w:tcPr>
            <w:tcW w:w="836" w:type="dxa"/>
          </w:tcPr>
          <w:p>
            <w:pPr>
              <w:pStyle w:val="TableParagraph"/>
              <w:spacing w:line="162" w:lineRule="exact"/>
              <w:ind w:left="118" w:right="72" w:hanging="33"/>
              <w:jc w:val="both"/>
              <w:rPr>
                <w:b/>
                <w:sz w:val="14"/>
              </w:rPr>
            </w:pPr>
            <w:r>
              <w:rPr>
                <w:b/>
                <w:sz w:val="14"/>
              </w:rPr>
              <w:t>Invertido</w:t>
            </w:r>
            <w:r>
              <w:rPr>
                <w:b/>
                <w:spacing w:val="-9"/>
                <w:sz w:val="14"/>
              </w:rPr>
              <w:t> </w:t>
            </w:r>
            <w:r>
              <w:rPr>
                <w:b/>
                <w:sz w:val="14"/>
              </w:rPr>
              <w:t>a</w:t>
            </w:r>
            <w:r>
              <w:rPr>
                <w:b/>
                <w:spacing w:val="40"/>
                <w:sz w:val="14"/>
              </w:rPr>
              <w:t> </w:t>
            </w:r>
            <w:r>
              <w:rPr>
                <w:b/>
                <w:spacing w:val="-2"/>
                <w:sz w:val="14"/>
              </w:rPr>
              <w:t>diciembre</w:t>
            </w:r>
            <w:r>
              <w:rPr>
                <w:b/>
                <w:spacing w:val="40"/>
                <w:sz w:val="14"/>
              </w:rPr>
              <w:t> </w:t>
            </w:r>
            <w:r>
              <w:rPr>
                <w:b/>
                <w:sz w:val="14"/>
              </w:rPr>
              <w:t>de</w:t>
            </w:r>
            <w:r>
              <w:rPr>
                <w:b/>
                <w:spacing w:val="-6"/>
                <w:sz w:val="14"/>
              </w:rPr>
              <w:t> </w:t>
            </w:r>
            <w:r>
              <w:rPr>
                <w:b/>
                <w:sz w:val="14"/>
              </w:rPr>
              <w:t>2018</w:t>
            </w:r>
          </w:p>
        </w:tc>
        <w:tc>
          <w:tcPr>
            <w:tcW w:w="731" w:type="dxa"/>
          </w:tcPr>
          <w:p>
            <w:pPr>
              <w:pStyle w:val="TableParagraph"/>
              <w:spacing w:before="80"/>
              <w:ind w:left="122" w:hanging="51"/>
              <w:rPr>
                <w:b/>
                <w:sz w:val="14"/>
              </w:rPr>
            </w:pPr>
            <w:r>
              <w:rPr>
                <w:b/>
                <w:spacing w:val="-2"/>
                <w:sz w:val="14"/>
              </w:rPr>
              <w:t>Pendiente</w:t>
            </w:r>
            <w:r>
              <w:rPr>
                <w:b/>
                <w:spacing w:val="40"/>
                <w:sz w:val="14"/>
              </w:rPr>
              <w:t> </w:t>
            </w:r>
            <w:r>
              <w:rPr>
                <w:b/>
                <w:spacing w:val="-2"/>
                <w:sz w:val="14"/>
              </w:rPr>
              <w:t>ejecutar</w:t>
            </w:r>
          </w:p>
        </w:tc>
        <w:tc>
          <w:tcPr>
            <w:tcW w:w="594" w:type="dxa"/>
          </w:tcPr>
          <w:p>
            <w:pPr>
              <w:pStyle w:val="TableParagraph"/>
              <w:rPr>
                <w:sz w:val="14"/>
              </w:rPr>
            </w:pPr>
          </w:p>
          <w:p>
            <w:pPr>
              <w:pStyle w:val="TableParagraph"/>
              <w:ind w:left="161"/>
              <w:rPr>
                <w:b/>
                <w:sz w:val="14"/>
              </w:rPr>
            </w:pPr>
            <w:r>
              <w:rPr>
                <w:b/>
                <w:spacing w:val="-4"/>
                <w:sz w:val="14"/>
              </w:rPr>
              <w:t>2019</w:t>
            </w:r>
          </w:p>
        </w:tc>
        <w:tc>
          <w:tcPr>
            <w:tcW w:w="594" w:type="dxa"/>
          </w:tcPr>
          <w:p>
            <w:pPr>
              <w:pStyle w:val="TableParagraph"/>
              <w:rPr>
                <w:sz w:val="14"/>
              </w:rPr>
            </w:pPr>
          </w:p>
          <w:p>
            <w:pPr>
              <w:pStyle w:val="TableParagraph"/>
              <w:ind w:left="162"/>
              <w:rPr>
                <w:b/>
                <w:sz w:val="14"/>
              </w:rPr>
            </w:pPr>
            <w:r>
              <w:rPr>
                <w:b/>
                <w:spacing w:val="-4"/>
                <w:sz w:val="14"/>
              </w:rPr>
              <w:t>2020</w:t>
            </w:r>
          </w:p>
        </w:tc>
        <w:tc>
          <w:tcPr>
            <w:tcW w:w="632" w:type="dxa"/>
          </w:tcPr>
          <w:p>
            <w:pPr>
              <w:pStyle w:val="TableParagraph"/>
              <w:rPr>
                <w:sz w:val="14"/>
              </w:rPr>
            </w:pPr>
          </w:p>
          <w:p>
            <w:pPr>
              <w:pStyle w:val="TableParagraph"/>
              <w:ind w:left="181"/>
              <w:rPr>
                <w:b/>
                <w:sz w:val="14"/>
              </w:rPr>
            </w:pPr>
            <w:r>
              <w:rPr>
                <w:b/>
                <w:spacing w:val="-4"/>
                <w:sz w:val="14"/>
              </w:rPr>
              <w:t>2021</w:t>
            </w:r>
          </w:p>
        </w:tc>
        <w:tc>
          <w:tcPr>
            <w:tcW w:w="561" w:type="dxa"/>
          </w:tcPr>
          <w:p>
            <w:pPr>
              <w:pStyle w:val="TableParagraph"/>
              <w:rPr>
                <w:sz w:val="14"/>
              </w:rPr>
            </w:pPr>
          </w:p>
          <w:p>
            <w:pPr>
              <w:pStyle w:val="TableParagraph"/>
              <w:ind w:left="25"/>
              <w:jc w:val="center"/>
              <w:rPr>
                <w:b/>
                <w:sz w:val="14"/>
              </w:rPr>
            </w:pPr>
            <w:r>
              <w:rPr>
                <w:b/>
                <w:spacing w:val="-4"/>
                <w:sz w:val="14"/>
              </w:rPr>
              <w:t>2022</w:t>
            </w:r>
          </w:p>
        </w:tc>
        <w:tc>
          <w:tcPr>
            <w:tcW w:w="524" w:type="dxa"/>
          </w:tcPr>
          <w:p>
            <w:pPr>
              <w:pStyle w:val="TableParagraph"/>
              <w:rPr>
                <w:sz w:val="14"/>
              </w:rPr>
            </w:pPr>
          </w:p>
          <w:p>
            <w:pPr>
              <w:pStyle w:val="TableParagraph"/>
              <w:ind w:left="30"/>
              <w:jc w:val="center"/>
              <w:rPr>
                <w:b/>
                <w:sz w:val="14"/>
              </w:rPr>
            </w:pPr>
            <w:r>
              <w:rPr>
                <w:b/>
                <w:spacing w:val="-4"/>
                <w:sz w:val="14"/>
              </w:rPr>
              <w:t>2023</w:t>
            </w:r>
          </w:p>
        </w:tc>
        <w:tc>
          <w:tcPr>
            <w:tcW w:w="498" w:type="dxa"/>
          </w:tcPr>
          <w:p>
            <w:pPr>
              <w:pStyle w:val="TableParagraph"/>
              <w:rPr>
                <w:sz w:val="14"/>
              </w:rPr>
            </w:pPr>
          </w:p>
          <w:p>
            <w:pPr>
              <w:pStyle w:val="TableParagraph"/>
              <w:ind w:left="31"/>
              <w:jc w:val="center"/>
              <w:rPr>
                <w:b/>
                <w:sz w:val="14"/>
              </w:rPr>
            </w:pPr>
            <w:r>
              <w:rPr>
                <w:b/>
                <w:spacing w:val="-4"/>
                <w:sz w:val="14"/>
              </w:rPr>
              <w:t>2024</w:t>
            </w:r>
          </w:p>
        </w:tc>
        <w:tc>
          <w:tcPr>
            <w:tcW w:w="452" w:type="dxa"/>
          </w:tcPr>
          <w:p>
            <w:pPr>
              <w:pStyle w:val="TableParagraph"/>
              <w:rPr>
                <w:sz w:val="14"/>
              </w:rPr>
            </w:pPr>
          </w:p>
          <w:p>
            <w:pPr>
              <w:pStyle w:val="TableParagraph"/>
              <w:ind w:left="46" w:right="7"/>
              <w:jc w:val="center"/>
              <w:rPr>
                <w:b/>
                <w:sz w:val="14"/>
              </w:rPr>
            </w:pPr>
            <w:r>
              <w:rPr>
                <w:b/>
                <w:spacing w:val="-4"/>
                <w:sz w:val="14"/>
              </w:rPr>
              <w:t>2025</w:t>
            </w:r>
          </w:p>
        </w:tc>
        <w:tc>
          <w:tcPr>
            <w:tcW w:w="452" w:type="dxa"/>
          </w:tcPr>
          <w:p>
            <w:pPr>
              <w:pStyle w:val="TableParagraph"/>
              <w:rPr>
                <w:sz w:val="14"/>
              </w:rPr>
            </w:pPr>
          </w:p>
          <w:p>
            <w:pPr>
              <w:pStyle w:val="TableParagraph"/>
              <w:ind w:left="46" w:right="2"/>
              <w:jc w:val="center"/>
              <w:rPr>
                <w:b/>
                <w:sz w:val="14"/>
              </w:rPr>
            </w:pPr>
            <w:r>
              <w:rPr>
                <w:b/>
                <w:spacing w:val="-4"/>
                <w:sz w:val="14"/>
              </w:rPr>
              <w:t>2026</w:t>
            </w:r>
          </w:p>
        </w:tc>
        <w:tc>
          <w:tcPr>
            <w:tcW w:w="519" w:type="dxa"/>
          </w:tcPr>
          <w:p>
            <w:pPr>
              <w:pStyle w:val="TableParagraph"/>
              <w:rPr>
                <w:sz w:val="14"/>
              </w:rPr>
            </w:pPr>
          </w:p>
          <w:p>
            <w:pPr>
              <w:pStyle w:val="TableParagraph"/>
              <w:ind w:left="48"/>
              <w:jc w:val="center"/>
              <w:rPr>
                <w:b/>
                <w:sz w:val="14"/>
              </w:rPr>
            </w:pPr>
            <w:r>
              <w:rPr>
                <w:b/>
                <w:spacing w:val="-4"/>
                <w:sz w:val="14"/>
              </w:rPr>
              <w:t>2027</w:t>
            </w:r>
          </w:p>
        </w:tc>
        <w:tc>
          <w:tcPr>
            <w:tcW w:w="563" w:type="dxa"/>
          </w:tcPr>
          <w:p>
            <w:pPr>
              <w:pStyle w:val="TableParagraph"/>
              <w:rPr>
                <w:sz w:val="14"/>
              </w:rPr>
            </w:pPr>
          </w:p>
          <w:p>
            <w:pPr>
              <w:pStyle w:val="TableParagraph"/>
              <w:ind w:left="164"/>
              <w:rPr>
                <w:b/>
                <w:sz w:val="14"/>
              </w:rPr>
            </w:pPr>
            <w:r>
              <w:rPr>
                <w:b/>
                <w:spacing w:val="-4"/>
                <w:sz w:val="14"/>
              </w:rPr>
              <w:t>2028</w:t>
            </w:r>
          </w:p>
        </w:tc>
      </w:tr>
      <w:tr>
        <w:trPr>
          <w:trHeight w:val="217" w:hRule="atLeast"/>
        </w:trPr>
        <w:tc>
          <w:tcPr>
            <w:tcW w:w="948" w:type="dxa"/>
            <w:vMerge w:val="restart"/>
          </w:tcPr>
          <w:p>
            <w:pPr>
              <w:pStyle w:val="TableParagraph"/>
              <w:spacing w:before="112"/>
              <w:ind w:left="158" w:right="92" w:hanging="50"/>
              <w:rPr>
                <w:b/>
                <w:sz w:val="14"/>
              </w:rPr>
            </w:pPr>
            <w:r>
              <w:rPr>
                <w:b/>
                <w:sz w:val="14"/>
              </w:rPr>
              <w:t>Otros</w:t>
            </w:r>
            <w:r>
              <w:rPr>
                <w:b/>
                <w:spacing w:val="-9"/>
                <w:sz w:val="14"/>
              </w:rPr>
              <w:t> </w:t>
            </w:r>
            <w:r>
              <w:rPr>
                <w:b/>
                <w:sz w:val="14"/>
              </w:rPr>
              <w:t>costes</w:t>
            </w:r>
            <w:r>
              <w:rPr>
                <w:b/>
                <w:spacing w:val="40"/>
                <w:sz w:val="14"/>
              </w:rPr>
              <w:t> </w:t>
            </w:r>
            <w:r>
              <w:rPr>
                <w:b/>
                <w:spacing w:val="-2"/>
                <w:sz w:val="14"/>
              </w:rPr>
              <w:t>societarios</w:t>
            </w:r>
          </w:p>
        </w:tc>
        <w:tc>
          <w:tcPr>
            <w:tcW w:w="1670" w:type="dxa"/>
          </w:tcPr>
          <w:p>
            <w:pPr>
              <w:pStyle w:val="TableParagraph"/>
              <w:spacing w:before="27"/>
              <w:ind w:left="71"/>
              <w:rPr>
                <w:sz w:val="14"/>
              </w:rPr>
            </w:pPr>
            <w:r>
              <w:rPr>
                <w:sz w:val="14"/>
              </w:rPr>
              <w:t>Costes</w:t>
            </w:r>
            <w:r>
              <w:rPr>
                <w:spacing w:val="-5"/>
                <w:sz w:val="14"/>
              </w:rPr>
              <w:t> </w:t>
            </w:r>
            <w:r>
              <w:rPr>
                <w:spacing w:val="-2"/>
                <w:sz w:val="14"/>
              </w:rPr>
              <w:t>Financieros</w:t>
            </w:r>
          </w:p>
        </w:tc>
        <w:tc>
          <w:tcPr>
            <w:tcW w:w="704" w:type="dxa"/>
          </w:tcPr>
          <w:p>
            <w:pPr>
              <w:pStyle w:val="TableParagraph"/>
              <w:spacing w:before="27"/>
              <w:ind w:right="56"/>
              <w:jc w:val="right"/>
              <w:rPr>
                <w:sz w:val="14"/>
              </w:rPr>
            </w:pPr>
            <w:r>
              <w:rPr>
                <w:spacing w:val="-2"/>
                <w:sz w:val="14"/>
              </w:rPr>
              <w:t>0,500</w:t>
            </w:r>
          </w:p>
        </w:tc>
        <w:tc>
          <w:tcPr>
            <w:tcW w:w="836" w:type="dxa"/>
          </w:tcPr>
          <w:p>
            <w:pPr>
              <w:pStyle w:val="TableParagraph"/>
              <w:spacing w:before="27"/>
              <w:ind w:right="55"/>
              <w:jc w:val="right"/>
              <w:rPr>
                <w:sz w:val="14"/>
              </w:rPr>
            </w:pPr>
            <w:r>
              <w:rPr>
                <w:spacing w:val="-2"/>
                <w:sz w:val="14"/>
              </w:rPr>
              <w:t>0,500</w:t>
            </w:r>
          </w:p>
        </w:tc>
        <w:tc>
          <w:tcPr>
            <w:tcW w:w="731" w:type="dxa"/>
          </w:tcPr>
          <w:p>
            <w:pPr>
              <w:pStyle w:val="TableParagraph"/>
              <w:spacing w:before="27"/>
              <w:ind w:left="293"/>
              <w:jc w:val="center"/>
              <w:rPr>
                <w:sz w:val="14"/>
              </w:rPr>
            </w:pPr>
            <w:r>
              <w:rPr>
                <w:spacing w:val="-2"/>
                <w:sz w:val="14"/>
              </w:rPr>
              <w:t>0,000</w:t>
            </w:r>
          </w:p>
        </w:tc>
        <w:tc>
          <w:tcPr>
            <w:tcW w:w="594" w:type="dxa"/>
          </w:tcPr>
          <w:p>
            <w:pPr>
              <w:pStyle w:val="TableParagraph"/>
              <w:rPr>
                <w:sz w:val="14"/>
              </w:rPr>
            </w:pPr>
          </w:p>
        </w:tc>
        <w:tc>
          <w:tcPr>
            <w:tcW w:w="594" w:type="dxa"/>
          </w:tcPr>
          <w:p>
            <w:pPr>
              <w:pStyle w:val="TableParagraph"/>
              <w:rPr>
                <w:sz w:val="14"/>
              </w:rPr>
            </w:pPr>
          </w:p>
        </w:tc>
        <w:tc>
          <w:tcPr>
            <w:tcW w:w="632" w:type="dxa"/>
          </w:tcPr>
          <w:p>
            <w:pPr>
              <w:pStyle w:val="TableParagraph"/>
              <w:rPr>
                <w:sz w:val="14"/>
              </w:rPr>
            </w:pPr>
          </w:p>
        </w:tc>
        <w:tc>
          <w:tcPr>
            <w:tcW w:w="561" w:type="dxa"/>
          </w:tcPr>
          <w:p>
            <w:pPr>
              <w:pStyle w:val="TableParagraph"/>
              <w:rPr>
                <w:sz w:val="14"/>
              </w:rPr>
            </w:pPr>
          </w:p>
        </w:tc>
        <w:tc>
          <w:tcPr>
            <w:tcW w:w="524" w:type="dxa"/>
          </w:tcPr>
          <w:p>
            <w:pPr>
              <w:pStyle w:val="TableParagraph"/>
              <w:rPr>
                <w:sz w:val="14"/>
              </w:rPr>
            </w:pPr>
          </w:p>
        </w:tc>
        <w:tc>
          <w:tcPr>
            <w:tcW w:w="498" w:type="dxa"/>
          </w:tcPr>
          <w:p>
            <w:pPr>
              <w:pStyle w:val="TableParagraph"/>
              <w:rPr>
                <w:sz w:val="14"/>
              </w:rPr>
            </w:pPr>
          </w:p>
        </w:tc>
        <w:tc>
          <w:tcPr>
            <w:tcW w:w="452" w:type="dxa"/>
          </w:tcPr>
          <w:p>
            <w:pPr>
              <w:pStyle w:val="TableParagraph"/>
              <w:rPr>
                <w:sz w:val="14"/>
              </w:rPr>
            </w:pPr>
          </w:p>
        </w:tc>
        <w:tc>
          <w:tcPr>
            <w:tcW w:w="452" w:type="dxa"/>
          </w:tcPr>
          <w:p>
            <w:pPr>
              <w:pStyle w:val="TableParagraph"/>
              <w:rPr>
                <w:sz w:val="14"/>
              </w:rPr>
            </w:pPr>
          </w:p>
        </w:tc>
        <w:tc>
          <w:tcPr>
            <w:tcW w:w="519" w:type="dxa"/>
          </w:tcPr>
          <w:p>
            <w:pPr>
              <w:pStyle w:val="TableParagraph"/>
              <w:rPr>
                <w:sz w:val="14"/>
              </w:rPr>
            </w:pPr>
          </w:p>
        </w:tc>
        <w:tc>
          <w:tcPr>
            <w:tcW w:w="563" w:type="dxa"/>
          </w:tcPr>
          <w:p>
            <w:pPr>
              <w:pStyle w:val="TableParagraph"/>
              <w:rPr>
                <w:sz w:val="14"/>
              </w:rPr>
            </w:pPr>
          </w:p>
        </w:tc>
      </w:tr>
      <w:tr>
        <w:trPr>
          <w:trHeight w:val="322" w:hRule="atLeast"/>
        </w:trPr>
        <w:tc>
          <w:tcPr>
            <w:tcW w:w="948" w:type="dxa"/>
            <w:vMerge/>
            <w:tcBorders>
              <w:top w:val="nil"/>
            </w:tcBorders>
          </w:tcPr>
          <w:p>
            <w:pPr>
              <w:rPr>
                <w:sz w:val="2"/>
                <w:szCs w:val="2"/>
              </w:rPr>
            </w:pPr>
          </w:p>
        </w:tc>
        <w:tc>
          <w:tcPr>
            <w:tcW w:w="1670" w:type="dxa"/>
          </w:tcPr>
          <w:p>
            <w:pPr>
              <w:pStyle w:val="TableParagraph"/>
              <w:spacing w:line="160" w:lineRule="atLeast"/>
              <w:ind w:left="433" w:right="73" w:hanging="317"/>
              <w:rPr>
                <w:b/>
                <w:sz w:val="14"/>
              </w:rPr>
            </w:pPr>
            <w:r>
              <w:rPr>
                <w:b/>
                <w:sz w:val="14"/>
              </w:rPr>
              <w:t>Total</w:t>
            </w:r>
            <w:r>
              <w:rPr>
                <w:b/>
                <w:spacing w:val="-9"/>
                <w:sz w:val="14"/>
              </w:rPr>
              <w:t> </w:t>
            </w:r>
            <w:r>
              <w:rPr>
                <w:b/>
                <w:sz w:val="14"/>
              </w:rPr>
              <w:t>Costes</w:t>
            </w:r>
            <w:r>
              <w:rPr>
                <w:b/>
                <w:spacing w:val="-9"/>
                <w:sz w:val="14"/>
              </w:rPr>
              <w:t> </w:t>
            </w:r>
            <w:r>
              <w:rPr>
                <w:b/>
                <w:sz w:val="14"/>
              </w:rPr>
              <w:t>Operativos</w:t>
            </w:r>
            <w:r>
              <w:rPr>
                <w:b/>
                <w:spacing w:val="40"/>
                <w:sz w:val="14"/>
              </w:rPr>
              <w:t> </w:t>
            </w:r>
            <w:r>
              <w:rPr>
                <w:b/>
                <w:sz w:val="14"/>
              </w:rPr>
              <w:t>y</w:t>
            </w:r>
            <w:r>
              <w:rPr>
                <w:b/>
                <w:spacing w:val="-8"/>
                <w:sz w:val="14"/>
              </w:rPr>
              <w:t> </w:t>
            </w:r>
            <w:r>
              <w:rPr>
                <w:b/>
                <w:sz w:val="14"/>
              </w:rPr>
              <w:t>Financieros</w:t>
            </w:r>
          </w:p>
        </w:tc>
        <w:tc>
          <w:tcPr>
            <w:tcW w:w="704" w:type="dxa"/>
          </w:tcPr>
          <w:p>
            <w:pPr>
              <w:pStyle w:val="TableParagraph"/>
              <w:spacing w:before="80"/>
              <w:ind w:right="56"/>
              <w:jc w:val="right"/>
              <w:rPr>
                <w:b/>
                <w:sz w:val="14"/>
              </w:rPr>
            </w:pPr>
            <w:r>
              <w:rPr>
                <w:b/>
                <w:spacing w:val="-2"/>
                <w:sz w:val="14"/>
              </w:rPr>
              <w:t>4,150</w:t>
            </w:r>
          </w:p>
        </w:tc>
        <w:tc>
          <w:tcPr>
            <w:tcW w:w="836" w:type="dxa"/>
          </w:tcPr>
          <w:p>
            <w:pPr>
              <w:pStyle w:val="TableParagraph"/>
              <w:spacing w:before="80"/>
              <w:ind w:right="55"/>
              <w:jc w:val="right"/>
              <w:rPr>
                <w:b/>
                <w:sz w:val="14"/>
              </w:rPr>
            </w:pPr>
            <w:r>
              <w:rPr>
                <w:b/>
                <w:spacing w:val="-2"/>
                <w:sz w:val="14"/>
              </w:rPr>
              <w:t>2,410</w:t>
            </w:r>
          </w:p>
        </w:tc>
        <w:tc>
          <w:tcPr>
            <w:tcW w:w="731" w:type="dxa"/>
          </w:tcPr>
          <w:p>
            <w:pPr>
              <w:pStyle w:val="TableParagraph"/>
              <w:spacing w:before="80"/>
              <w:ind w:left="293"/>
              <w:jc w:val="center"/>
              <w:rPr>
                <w:b/>
                <w:sz w:val="14"/>
              </w:rPr>
            </w:pPr>
            <w:r>
              <w:rPr>
                <w:b/>
                <w:spacing w:val="-2"/>
                <w:sz w:val="14"/>
              </w:rPr>
              <w:t>1,740</w:t>
            </w:r>
          </w:p>
        </w:tc>
        <w:tc>
          <w:tcPr>
            <w:tcW w:w="594" w:type="dxa"/>
          </w:tcPr>
          <w:p>
            <w:pPr>
              <w:pStyle w:val="TableParagraph"/>
              <w:spacing w:before="80"/>
              <w:ind w:right="53"/>
              <w:jc w:val="right"/>
              <w:rPr>
                <w:b/>
                <w:sz w:val="14"/>
              </w:rPr>
            </w:pPr>
            <w:r>
              <w:rPr>
                <w:b/>
                <w:spacing w:val="-2"/>
                <w:sz w:val="14"/>
              </w:rPr>
              <w:t>0,180</w:t>
            </w:r>
          </w:p>
        </w:tc>
        <w:tc>
          <w:tcPr>
            <w:tcW w:w="594" w:type="dxa"/>
          </w:tcPr>
          <w:p>
            <w:pPr>
              <w:pStyle w:val="TableParagraph"/>
              <w:spacing w:before="80"/>
              <w:ind w:right="51"/>
              <w:jc w:val="right"/>
              <w:rPr>
                <w:b/>
                <w:sz w:val="14"/>
              </w:rPr>
            </w:pPr>
            <w:r>
              <w:rPr>
                <w:b/>
                <w:spacing w:val="-2"/>
                <w:sz w:val="14"/>
              </w:rPr>
              <w:t>0,180</w:t>
            </w:r>
          </w:p>
        </w:tc>
        <w:tc>
          <w:tcPr>
            <w:tcW w:w="632" w:type="dxa"/>
          </w:tcPr>
          <w:p>
            <w:pPr>
              <w:pStyle w:val="TableParagraph"/>
              <w:spacing w:before="80"/>
              <w:ind w:right="50"/>
              <w:jc w:val="right"/>
              <w:rPr>
                <w:b/>
                <w:sz w:val="14"/>
              </w:rPr>
            </w:pPr>
            <w:r>
              <w:rPr>
                <w:b/>
                <w:spacing w:val="-2"/>
                <w:sz w:val="14"/>
              </w:rPr>
              <w:t>0,200</w:t>
            </w:r>
          </w:p>
        </w:tc>
        <w:tc>
          <w:tcPr>
            <w:tcW w:w="561" w:type="dxa"/>
          </w:tcPr>
          <w:p>
            <w:pPr>
              <w:pStyle w:val="TableParagraph"/>
              <w:spacing w:before="80"/>
              <w:ind w:left="135"/>
              <w:jc w:val="center"/>
              <w:rPr>
                <w:b/>
                <w:sz w:val="14"/>
              </w:rPr>
            </w:pPr>
            <w:r>
              <w:rPr>
                <w:b/>
                <w:spacing w:val="-2"/>
                <w:sz w:val="14"/>
              </w:rPr>
              <w:t>0,220</w:t>
            </w:r>
          </w:p>
        </w:tc>
        <w:tc>
          <w:tcPr>
            <w:tcW w:w="524" w:type="dxa"/>
          </w:tcPr>
          <w:p>
            <w:pPr>
              <w:pStyle w:val="TableParagraph"/>
              <w:spacing w:before="80"/>
              <w:ind w:left="101"/>
              <w:jc w:val="center"/>
              <w:rPr>
                <w:b/>
                <w:sz w:val="14"/>
              </w:rPr>
            </w:pPr>
            <w:r>
              <w:rPr>
                <w:b/>
                <w:spacing w:val="-2"/>
                <w:sz w:val="14"/>
              </w:rPr>
              <w:t>0,240</w:t>
            </w:r>
          </w:p>
        </w:tc>
        <w:tc>
          <w:tcPr>
            <w:tcW w:w="498" w:type="dxa"/>
          </w:tcPr>
          <w:p>
            <w:pPr>
              <w:pStyle w:val="TableParagraph"/>
              <w:spacing w:before="80"/>
              <w:ind w:left="78"/>
              <w:jc w:val="center"/>
              <w:rPr>
                <w:b/>
                <w:sz w:val="14"/>
              </w:rPr>
            </w:pPr>
            <w:r>
              <w:rPr>
                <w:b/>
                <w:spacing w:val="-2"/>
                <w:sz w:val="14"/>
              </w:rPr>
              <w:t>0,144</w:t>
            </w:r>
          </w:p>
        </w:tc>
        <w:tc>
          <w:tcPr>
            <w:tcW w:w="452" w:type="dxa"/>
          </w:tcPr>
          <w:p>
            <w:pPr>
              <w:pStyle w:val="TableParagraph"/>
              <w:spacing w:before="80"/>
              <w:ind w:left="46" w:right="6"/>
              <w:jc w:val="center"/>
              <w:rPr>
                <w:b/>
                <w:sz w:val="14"/>
              </w:rPr>
            </w:pPr>
            <w:r>
              <w:rPr>
                <w:b/>
                <w:spacing w:val="-2"/>
                <w:sz w:val="14"/>
              </w:rPr>
              <w:t>0,144</w:t>
            </w:r>
          </w:p>
        </w:tc>
        <w:tc>
          <w:tcPr>
            <w:tcW w:w="452" w:type="dxa"/>
          </w:tcPr>
          <w:p>
            <w:pPr>
              <w:pStyle w:val="TableParagraph"/>
              <w:spacing w:before="80"/>
              <w:ind w:left="46"/>
              <w:jc w:val="center"/>
              <w:rPr>
                <w:b/>
                <w:sz w:val="14"/>
              </w:rPr>
            </w:pPr>
            <w:r>
              <w:rPr>
                <w:b/>
                <w:spacing w:val="-2"/>
                <w:sz w:val="14"/>
              </w:rPr>
              <w:t>0,144</w:t>
            </w:r>
          </w:p>
        </w:tc>
        <w:tc>
          <w:tcPr>
            <w:tcW w:w="519" w:type="dxa"/>
          </w:tcPr>
          <w:p>
            <w:pPr>
              <w:pStyle w:val="TableParagraph"/>
              <w:spacing w:before="80"/>
              <w:ind w:left="116"/>
              <w:jc w:val="center"/>
              <w:rPr>
                <w:b/>
                <w:sz w:val="14"/>
              </w:rPr>
            </w:pPr>
            <w:r>
              <w:rPr>
                <w:b/>
                <w:spacing w:val="-2"/>
                <w:sz w:val="14"/>
              </w:rPr>
              <w:t>0,144</w:t>
            </w:r>
          </w:p>
        </w:tc>
        <w:tc>
          <w:tcPr>
            <w:tcW w:w="563" w:type="dxa"/>
          </w:tcPr>
          <w:p>
            <w:pPr>
              <w:pStyle w:val="TableParagraph"/>
              <w:spacing w:before="80"/>
              <w:ind w:left="203"/>
              <w:rPr>
                <w:b/>
                <w:sz w:val="14"/>
              </w:rPr>
            </w:pPr>
            <w:r>
              <w:rPr>
                <w:b/>
                <w:spacing w:val="-2"/>
                <w:sz w:val="14"/>
              </w:rPr>
              <w:t>0,144</w:t>
            </w:r>
          </w:p>
        </w:tc>
      </w:tr>
      <w:tr>
        <w:trPr>
          <w:trHeight w:val="405" w:hRule="atLeast"/>
        </w:trPr>
        <w:tc>
          <w:tcPr>
            <w:tcW w:w="948" w:type="dxa"/>
          </w:tcPr>
          <w:p>
            <w:pPr>
              <w:pStyle w:val="TableParagraph"/>
              <w:rPr>
                <w:sz w:val="18"/>
              </w:rPr>
            </w:pPr>
          </w:p>
        </w:tc>
        <w:tc>
          <w:tcPr>
            <w:tcW w:w="1670" w:type="dxa"/>
          </w:tcPr>
          <w:p>
            <w:pPr>
              <w:pStyle w:val="TableParagraph"/>
              <w:spacing w:before="122"/>
              <w:ind w:left="601"/>
              <w:rPr>
                <w:b/>
                <w:sz w:val="14"/>
              </w:rPr>
            </w:pPr>
            <w:r>
              <w:rPr>
                <w:b/>
                <w:sz w:val="14"/>
              </w:rPr>
              <w:t>COSTE</w:t>
            </w:r>
            <w:r>
              <w:rPr>
                <w:b/>
                <w:spacing w:val="-2"/>
                <w:sz w:val="14"/>
              </w:rPr>
              <w:t> </w:t>
            </w:r>
            <w:r>
              <w:rPr>
                <w:b/>
                <w:spacing w:val="-4"/>
                <w:sz w:val="14"/>
              </w:rPr>
              <w:t>TOTAL</w:t>
            </w:r>
          </w:p>
        </w:tc>
        <w:tc>
          <w:tcPr>
            <w:tcW w:w="704" w:type="dxa"/>
          </w:tcPr>
          <w:p>
            <w:pPr>
              <w:pStyle w:val="TableParagraph"/>
              <w:spacing w:before="122"/>
              <w:ind w:right="56"/>
              <w:jc w:val="right"/>
              <w:rPr>
                <w:b/>
                <w:sz w:val="14"/>
              </w:rPr>
            </w:pPr>
            <w:r>
              <w:rPr>
                <w:b/>
                <w:spacing w:val="-2"/>
                <w:sz w:val="14"/>
              </w:rPr>
              <w:t>617,250</w:t>
            </w:r>
          </w:p>
        </w:tc>
        <w:tc>
          <w:tcPr>
            <w:tcW w:w="836" w:type="dxa"/>
          </w:tcPr>
          <w:p>
            <w:pPr>
              <w:pStyle w:val="TableParagraph"/>
              <w:spacing w:before="122"/>
              <w:ind w:right="56"/>
              <w:jc w:val="right"/>
              <w:rPr>
                <w:b/>
                <w:sz w:val="14"/>
              </w:rPr>
            </w:pPr>
            <w:r>
              <w:rPr>
                <w:b/>
                <w:spacing w:val="-2"/>
                <w:sz w:val="14"/>
              </w:rPr>
              <w:t>42,270</w:t>
            </w:r>
          </w:p>
        </w:tc>
        <w:tc>
          <w:tcPr>
            <w:tcW w:w="731" w:type="dxa"/>
          </w:tcPr>
          <w:p>
            <w:pPr>
              <w:pStyle w:val="TableParagraph"/>
              <w:spacing w:before="122"/>
              <w:ind w:left="152"/>
              <w:jc w:val="center"/>
              <w:rPr>
                <w:b/>
                <w:sz w:val="14"/>
              </w:rPr>
            </w:pPr>
            <w:r>
              <w:rPr>
                <w:b/>
                <w:spacing w:val="-2"/>
                <w:sz w:val="14"/>
              </w:rPr>
              <w:t>574,980</w:t>
            </w:r>
          </w:p>
        </w:tc>
        <w:tc>
          <w:tcPr>
            <w:tcW w:w="594" w:type="dxa"/>
          </w:tcPr>
          <w:p>
            <w:pPr>
              <w:pStyle w:val="TableParagraph"/>
              <w:spacing w:before="122"/>
              <w:ind w:right="53"/>
              <w:jc w:val="right"/>
              <w:rPr>
                <w:b/>
                <w:sz w:val="14"/>
              </w:rPr>
            </w:pPr>
            <w:r>
              <w:rPr>
                <w:b/>
                <w:spacing w:val="-2"/>
                <w:sz w:val="14"/>
              </w:rPr>
              <w:t>161,509</w:t>
            </w:r>
          </w:p>
        </w:tc>
        <w:tc>
          <w:tcPr>
            <w:tcW w:w="594" w:type="dxa"/>
          </w:tcPr>
          <w:p>
            <w:pPr>
              <w:pStyle w:val="TableParagraph"/>
              <w:spacing w:before="122"/>
              <w:ind w:right="52"/>
              <w:jc w:val="right"/>
              <w:rPr>
                <w:b/>
                <w:sz w:val="14"/>
              </w:rPr>
            </w:pPr>
            <w:r>
              <w:rPr>
                <w:b/>
                <w:spacing w:val="-2"/>
                <w:sz w:val="14"/>
              </w:rPr>
              <w:t>127,335</w:t>
            </w:r>
          </w:p>
        </w:tc>
        <w:tc>
          <w:tcPr>
            <w:tcW w:w="632" w:type="dxa"/>
          </w:tcPr>
          <w:p>
            <w:pPr>
              <w:pStyle w:val="TableParagraph"/>
              <w:spacing w:before="122"/>
              <w:ind w:right="50"/>
              <w:jc w:val="right"/>
              <w:rPr>
                <w:b/>
                <w:sz w:val="14"/>
              </w:rPr>
            </w:pPr>
            <w:r>
              <w:rPr>
                <w:b/>
                <w:spacing w:val="-2"/>
                <w:sz w:val="14"/>
              </w:rPr>
              <w:t>152,820</w:t>
            </w:r>
          </w:p>
        </w:tc>
        <w:tc>
          <w:tcPr>
            <w:tcW w:w="561" w:type="dxa"/>
          </w:tcPr>
          <w:p>
            <w:pPr>
              <w:pStyle w:val="TableParagraph"/>
              <w:spacing w:before="122"/>
              <w:ind w:left="63"/>
              <w:jc w:val="center"/>
              <w:rPr>
                <w:b/>
                <w:sz w:val="14"/>
              </w:rPr>
            </w:pPr>
            <w:r>
              <w:rPr>
                <w:b/>
                <w:spacing w:val="-2"/>
                <w:sz w:val="14"/>
              </w:rPr>
              <w:t>82,101</w:t>
            </w:r>
          </w:p>
        </w:tc>
        <w:tc>
          <w:tcPr>
            <w:tcW w:w="524" w:type="dxa"/>
          </w:tcPr>
          <w:p>
            <w:pPr>
              <w:pStyle w:val="TableParagraph"/>
              <w:spacing w:before="122"/>
              <w:ind w:left="30"/>
              <w:jc w:val="center"/>
              <w:rPr>
                <w:b/>
                <w:sz w:val="14"/>
              </w:rPr>
            </w:pPr>
            <w:r>
              <w:rPr>
                <w:b/>
                <w:spacing w:val="-2"/>
                <w:sz w:val="14"/>
              </w:rPr>
              <w:t>50,495</w:t>
            </w:r>
          </w:p>
        </w:tc>
        <w:tc>
          <w:tcPr>
            <w:tcW w:w="498" w:type="dxa"/>
          </w:tcPr>
          <w:p>
            <w:pPr>
              <w:pStyle w:val="TableParagraph"/>
              <w:spacing w:before="122"/>
              <w:ind w:left="78"/>
              <w:jc w:val="center"/>
              <w:rPr>
                <w:b/>
                <w:sz w:val="14"/>
              </w:rPr>
            </w:pPr>
            <w:r>
              <w:rPr>
                <w:b/>
                <w:spacing w:val="-2"/>
                <w:sz w:val="14"/>
              </w:rPr>
              <w:t>0,144</w:t>
            </w:r>
          </w:p>
        </w:tc>
        <w:tc>
          <w:tcPr>
            <w:tcW w:w="452" w:type="dxa"/>
          </w:tcPr>
          <w:p>
            <w:pPr>
              <w:pStyle w:val="TableParagraph"/>
              <w:spacing w:before="122"/>
              <w:ind w:left="46" w:right="6"/>
              <w:jc w:val="center"/>
              <w:rPr>
                <w:b/>
                <w:sz w:val="14"/>
              </w:rPr>
            </w:pPr>
            <w:r>
              <w:rPr>
                <w:b/>
                <w:spacing w:val="-2"/>
                <w:sz w:val="14"/>
              </w:rPr>
              <w:t>0,144</w:t>
            </w:r>
          </w:p>
        </w:tc>
        <w:tc>
          <w:tcPr>
            <w:tcW w:w="452" w:type="dxa"/>
          </w:tcPr>
          <w:p>
            <w:pPr>
              <w:pStyle w:val="TableParagraph"/>
              <w:spacing w:before="122"/>
              <w:ind w:left="46"/>
              <w:jc w:val="center"/>
              <w:rPr>
                <w:b/>
                <w:sz w:val="14"/>
              </w:rPr>
            </w:pPr>
            <w:r>
              <w:rPr>
                <w:b/>
                <w:spacing w:val="-2"/>
                <w:sz w:val="14"/>
              </w:rPr>
              <w:t>0,144</w:t>
            </w:r>
          </w:p>
        </w:tc>
        <w:tc>
          <w:tcPr>
            <w:tcW w:w="519" w:type="dxa"/>
          </w:tcPr>
          <w:p>
            <w:pPr>
              <w:pStyle w:val="TableParagraph"/>
              <w:spacing w:before="122"/>
              <w:ind w:left="116"/>
              <w:jc w:val="center"/>
              <w:rPr>
                <w:b/>
                <w:sz w:val="14"/>
              </w:rPr>
            </w:pPr>
            <w:r>
              <w:rPr>
                <w:b/>
                <w:spacing w:val="-2"/>
                <w:sz w:val="14"/>
              </w:rPr>
              <w:t>0,144</w:t>
            </w:r>
          </w:p>
        </w:tc>
        <w:tc>
          <w:tcPr>
            <w:tcW w:w="563" w:type="dxa"/>
          </w:tcPr>
          <w:p>
            <w:pPr>
              <w:pStyle w:val="TableParagraph"/>
              <w:spacing w:before="122"/>
              <w:ind w:left="203"/>
              <w:rPr>
                <w:b/>
                <w:sz w:val="14"/>
              </w:rPr>
            </w:pPr>
            <w:r>
              <w:rPr>
                <w:b/>
                <w:spacing w:val="-2"/>
                <w:sz w:val="14"/>
              </w:rPr>
              <w:t>0,144</w:t>
            </w:r>
          </w:p>
        </w:tc>
      </w:tr>
    </w:tbl>
    <w:p>
      <w:pPr>
        <w:spacing w:before="1"/>
        <w:ind w:left="993" w:right="0" w:firstLine="0"/>
        <w:jc w:val="both"/>
        <w:rPr>
          <w:i/>
          <w:sz w:val="15"/>
        </w:rPr>
      </w:pPr>
      <w:r>
        <w:rPr>
          <w:i/>
          <w:w w:val="105"/>
          <w:sz w:val="15"/>
        </w:rPr>
        <w:t>(*)</w:t>
      </w:r>
      <w:r>
        <w:rPr>
          <w:i/>
          <w:spacing w:val="-8"/>
          <w:w w:val="105"/>
          <w:sz w:val="15"/>
        </w:rPr>
        <w:t> </w:t>
      </w:r>
      <w:r>
        <w:rPr>
          <w:i/>
          <w:w w:val="105"/>
          <w:sz w:val="15"/>
        </w:rPr>
        <w:t>cifras</w:t>
      </w:r>
      <w:r>
        <w:rPr>
          <w:i/>
          <w:spacing w:val="-8"/>
          <w:w w:val="105"/>
          <w:sz w:val="15"/>
        </w:rPr>
        <w:t> </w:t>
      </w:r>
      <w:r>
        <w:rPr>
          <w:i/>
          <w:w w:val="105"/>
          <w:sz w:val="15"/>
        </w:rPr>
        <w:t>expresadas</w:t>
      </w:r>
      <w:r>
        <w:rPr>
          <w:i/>
          <w:spacing w:val="-8"/>
          <w:w w:val="105"/>
          <w:sz w:val="15"/>
        </w:rPr>
        <w:t> </w:t>
      </w:r>
      <w:r>
        <w:rPr>
          <w:i/>
          <w:w w:val="105"/>
          <w:sz w:val="15"/>
        </w:rPr>
        <w:t>en</w:t>
      </w:r>
      <w:r>
        <w:rPr>
          <w:i/>
          <w:spacing w:val="-6"/>
          <w:w w:val="105"/>
          <w:sz w:val="15"/>
        </w:rPr>
        <w:t> </w:t>
      </w:r>
      <w:r>
        <w:rPr>
          <w:i/>
          <w:w w:val="105"/>
          <w:sz w:val="15"/>
        </w:rPr>
        <w:t>millones</w:t>
      </w:r>
      <w:r>
        <w:rPr>
          <w:i/>
          <w:spacing w:val="-8"/>
          <w:w w:val="105"/>
          <w:sz w:val="15"/>
        </w:rPr>
        <w:t> </w:t>
      </w:r>
      <w:r>
        <w:rPr>
          <w:i/>
          <w:w w:val="105"/>
          <w:sz w:val="15"/>
        </w:rPr>
        <w:t>de</w:t>
      </w:r>
      <w:r>
        <w:rPr>
          <w:i/>
          <w:spacing w:val="-8"/>
          <w:w w:val="105"/>
          <w:sz w:val="15"/>
        </w:rPr>
        <w:t> </w:t>
      </w:r>
      <w:r>
        <w:rPr>
          <w:i/>
          <w:spacing w:val="-2"/>
          <w:w w:val="105"/>
          <w:sz w:val="15"/>
        </w:rPr>
        <w:t>euros</w:t>
      </w:r>
    </w:p>
    <w:p>
      <w:pPr>
        <w:pStyle w:val="BodyText"/>
        <w:spacing w:before="40"/>
        <w:rPr>
          <w:i/>
          <w:sz w:val="15"/>
        </w:rPr>
      </w:pPr>
    </w:p>
    <w:p>
      <w:pPr>
        <w:pStyle w:val="BodyText"/>
        <w:spacing w:line="247" w:lineRule="auto"/>
        <w:ind w:left="995" w:right="851"/>
        <w:jc w:val="both"/>
      </w:pPr>
      <w:r>
        <w:rPr/>
        <w:t>La actualización de los importes de la integración del ferrocarril en la ciudad de Murcia junto con su estimación de coste (IVA incluido) y mecanismo de financiación sería la siguiente:</w:t>
      </w:r>
    </w:p>
    <w:p>
      <w:pPr>
        <w:pStyle w:val="BodyText"/>
        <w:spacing w:before="5"/>
        <w:rPr>
          <w:sz w:val="18"/>
        </w:rPr>
      </w:pPr>
    </w:p>
    <w:tbl>
      <w:tblPr>
        <w:tblW w:w="0" w:type="auto"/>
        <w:jc w:val="left"/>
        <w:tblInd w:w="1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9"/>
        <w:gridCol w:w="3097"/>
        <w:gridCol w:w="1060"/>
        <w:gridCol w:w="2909"/>
      </w:tblGrid>
      <w:tr>
        <w:trPr>
          <w:trHeight w:val="483" w:hRule="atLeast"/>
        </w:trPr>
        <w:tc>
          <w:tcPr>
            <w:tcW w:w="3966" w:type="dxa"/>
            <w:gridSpan w:val="2"/>
          </w:tcPr>
          <w:p>
            <w:pPr>
              <w:pStyle w:val="TableParagraph"/>
              <w:rPr>
                <w:sz w:val="14"/>
              </w:rPr>
            </w:pPr>
          </w:p>
          <w:p>
            <w:pPr>
              <w:pStyle w:val="TableParagraph"/>
              <w:spacing w:before="1"/>
              <w:ind w:left="10"/>
              <w:jc w:val="center"/>
              <w:rPr>
                <w:b/>
                <w:sz w:val="14"/>
              </w:rPr>
            </w:pPr>
            <w:r>
              <w:rPr>
                <w:b/>
                <w:spacing w:val="-2"/>
                <w:sz w:val="14"/>
              </w:rPr>
              <w:t>Actuación</w:t>
            </w:r>
          </w:p>
        </w:tc>
        <w:tc>
          <w:tcPr>
            <w:tcW w:w="1060" w:type="dxa"/>
          </w:tcPr>
          <w:p>
            <w:pPr>
              <w:pStyle w:val="TableParagraph"/>
              <w:spacing w:line="160" w:lineRule="atLeast"/>
              <w:ind w:left="86" w:right="72"/>
              <w:jc w:val="center"/>
              <w:rPr>
                <w:b/>
                <w:sz w:val="14"/>
              </w:rPr>
            </w:pPr>
            <w:r>
              <w:rPr>
                <w:b/>
                <w:spacing w:val="-2"/>
                <w:sz w:val="14"/>
              </w:rPr>
              <w:t>Actualización</w:t>
            </w:r>
            <w:r>
              <w:rPr>
                <w:b/>
                <w:spacing w:val="40"/>
                <w:sz w:val="14"/>
              </w:rPr>
              <w:t> </w:t>
            </w:r>
            <w:r>
              <w:rPr>
                <w:b/>
                <w:sz w:val="14"/>
              </w:rPr>
              <w:t>de</w:t>
            </w:r>
            <w:r>
              <w:rPr>
                <w:b/>
                <w:spacing w:val="-6"/>
                <w:sz w:val="14"/>
              </w:rPr>
              <w:t> </w:t>
            </w:r>
            <w:r>
              <w:rPr>
                <w:b/>
                <w:sz w:val="14"/>
              </w:rPr>
              <w:t>costes</w:t>
            </w:r>
            <w:r>
              <w:rPr>
                <w:b/>
                <w:spacing w:val="40"/>
                <w:sz w:val="14"/>
              </w:rPr>
              <w:t> </w:t>
            </w:r>
            <w:r>
              <w:rPr>
                <w:b/>
                <w:sz w:val="14"/>
              </w:rPr>
              <w:t>(millones</w:t>
            </w:r>
            <w:r>
              <w:rPr>
                <w:b/>
                <w:spacing w:val="-9"/>
                <w:sz w:val="14"/>
              </w:rPr>
              <w:t> </w:t>
            </w:r>
            <w:r>
              <w:rPr>
                <w:b/>
                <w:sz w:val="14"/>
              </w:rPr>
              <w:t>de</w:t>
            </w:r>
            <w:r>
              <w:rPr>
                <w:b/>
                <w:spacing w:val="-9"/>
                <w:sz w:val="14"/>
              </w:rPr>
              <w:t> </w:t>
            </w:r>
            <w:r>
              <w:rPr>
                <w:b/>
                <w:sz w:val="14"/>
              </w:rPr>
              <w:t>€)</w:t>
            </w:r>
          </w:p>
        </w:tc>
        <w:tc>
          <w:tcPr>
            <w:tcW w:w="2909" w:type="dxa"/>
          </w:tcPr>
          <w:p>
            <w:pPr>
              <w:pStyle w:val="TableParagraph"/>
              <w:rPr>
                <w:sz w:val="14"/>
              </w:rPr>
            </w:pPr>
          </w:p>
          <w:p>
            <w:pPr>
              <w:pStyle w:val="TableParagraph"/>
              <w:spacing w:before="1"/>
              <w:ind w:left="730"/>
              <w:rPr>
                <w:b/>
                <w:sz w:val="14"/>
              </w:rPr>
            </w:pPr>
            <w:r>
              <w:rPr>
                <w:b/>
                <w:sz w:val="14"/>
              </w:rPr>
              <w:t>Mecanismo</w:t>
            </w:r>
            <w:r>
              <w:rPr>
                <w:b/>
                <w:spacing w:val="-5"/>
                <w:sz w:val="14"/>
              </w:rPr>
              <w:t> </w:t>
            </w:r>
            <w:r>
              <w:rPr>
                <w:b/>
                <w:spacing w:val="-2"/>
                <w:sz w:val="14"/>
              </w:rPr>
              <w:t>financiación</w:t>
            </w:r>
          </w:p>
        </w:tc>
      </w:tr>
      <w:tr>
        <w:trPr>
          <w:trHeight w:val="322" w:hRule="atLeast"/>
        </w:trPr>
        <w:tc>
          <w:tcPr>
            <w:tcW w:w="869" w:type="dxa"/>
            <w:vMerge w:val="restart"/>
          </w:tcPr>
          <w:p>
            <w:pPr>
              <w:pStyle w:val="TableParagraph"/>
              <w:rPr>
                <w:sz w:val="14"/>
              </w:rPr>
            </w:pPr>
          </w:p>
          <w:p>
            <w:pPr>
              <w:pStyle w:val="TableParagraph"/>
              <w:rPr>
                <w:sz w:val="14"/>
              </w:rPr>
            </w:pPr>
          </w:p>
          <w:p>
            <w:pPr>
              <w:pStyle w:val="TableParagraph"/>
              <w:spacing w:before="16"/>
              <w:rPr>
                <w:sz w:val="14"/>
              </w:rPr>
            </w:pPr>
          </w:p>
          <w:p>
            <w:pPr>
              <w:pStyle w:val="TableParagraph"/>
              <w:ind w:left="86" w:hanging="16"/>
              <w:rPr>
                <w:b/>
                <w:sz w:val="14"/>
              </w:rPr>
            </w:pPr>
            <w:r>
              <w:rPr>
                <w:b/>
                <w:spacing w:val="-2"/>
                <w:sz w:val="14"/>
              </w:rPr>
              <w:t>Actuaciones</w:t>
            </w:r>
            <w:r>
              <w:rPr>
                <w:b/>
                <w:spacing w:val="40"/>
                <w:sz w:val="14"/>
              </w:rPr>
              <w:t> </w:t>
            </w:r>
            <w:r>
              <w:rPr>
                <w:b/>
                <w:spacing w:val="-2"/>
                <w:sz w:val="14"/>
              </w:rPr>
              <w:t>Integración</w:t>
            </w:r>
          </w:p>
        </w:tc>
        <w:tc>
          <w:tcPr>
            <w:tcW w:w="3097" w:type="dxa"/>
          </w:tcPr>
          <w:p>
            <w:pPr>
              <w:pStyle w:val="TableParagraph"/>
              <w:spacing w:before="81"/>
              <w:ind w:left="65"/>
              <w:rPr>
                <w:sz w:val="14"/>
              </w:rPr>
            </w:pPr>
            <w:r>
              <w:rPr>
                <w:w w:val="105"/>
                <w:sz w:val="14"/>
              </w:rPr>
              <w:t>Redacción</w:t>
            </w:r>
            <w:r>
              <w:rPr>
                <w:spacing w:val="-3"/>
                <w:w w:val="105"/>
                <w:sz w:val="14"/>
              </w:rPr>
              <w:t> </w:t>
            </w:r>
            <w:r>
              <w:rPr>
                <w:w w:val="105"/>
                <w:sz w:val="14"/>
              </w:rPr>
              <w:t>de</w:t>
            </w:r>
            <w:r>
              <w:rPr>
                <w:spacing w:val="-4"/>
                <w:w w:val="105"/>
                <w:sz w:val="14"/>
              </w:rPr>
              <w:t> </w:t>
            </w:r>
            <w:r>
              <w:rPr>
                <w:w w:val="105"/>
                <w:sz w:val="14"/>
              </w:rPr>
              <w:t>estudios</w:t>
            </w:r>
            <w:r>
              <w:rPr>
                <w:spacing w:val="-4"/>
                <w:w w:val="105"/>
                <w:sz w:val="14"/>
              </w:rPr>
              <w:t> </w:t>
            </w:r>
            <w:r>
              <w:rPr>
                <w:w w:val="105"/>
                <w:sz w:val="14"/>
              </w:rPr>
              <w:t>y</w:t>
            </w:r>
            <w:r>
              <w:rPr>
                <w:spacing w:val="-2"/>
                <w:w w:val="105"/>
                <w:sz w:val="14"/>
              </w:rPr>
              <w:t> proyectos</w:t>
            </w:r>
          </w:p>
        </w:tc>
        <w:tc>
          <w:tcPr>
            <w:tcW w:w="1060" w:type="dxa"/>
          </w:tcPr>
          <w:p>
            <w:pPr>
              <w:pStyle w:val="TableParagraph"/>
              <w:spacing w:before="81"/>
              <w:ind w:right="53"/>
              <w:jc w:val="right"/>
              <w:rPr>
                <w:sz w:val="14"/>
              </w:rPr>
            </w:pPr>
            <w:r>
              <w:rPr>
                <w:spacing w:val="-4"/>
                <w:sz w:val="14"/>
              </w:rPr>
              <w:t>6,10</w:t>
            </w:r>
          </w:p>
        </w:tc>
        <w:tc>
          <w:tcPr>
            <w:tcW w:w="2909" w:type="dxa"/>
          </w:tcPr>
          <w:p>
            <w:pPr>
              <w:pStyle w:val="TableParagraph"/>
              <w:spacing w:line="160" w:lineRule="atLeast"/>
              <w:ind w:left="74"/>
              <w:rPr>
                <w:sz w:val="14"/>
              </w:rPr>
            </w:pPr>
            <w:r>
              <w:rPr>
                <w:sz w:val="14"/>
              </w:rPr>
              <w:t>Sociedad</w:t>
            </w:r>
            <w:r>
              <w:rPr>
                <w:spacing w:val="-9"/>
                <w:sz w:val="14"/>
              </w:rPr>
              <w:t> </w:t>
            </w:r>
            <w:r>
              <w:rPr>
                <w:sz w:val="14"/>
              </w:rPr>
              <w:t>mediante</w:t>
            </w:r>
            <w:r>
              <w:rPr>
                <w:spacing w:val="-9"/>
                <w:sz w:val="14"/>
              </w:rPr>
              <w:t> </w:t>
            </w:r>
            <w:r>
              <w:rPr>
                <w:sz w:val="14"/>
              </w:rPr>
              <w:t>préstamo</w:t>
            </w:r>
            <w:r>
              <w:rPr>
                <w:spacing w:val="-9"/>
                <w:sz w:val="14"/>
              </w:rPr>
              <w:t> </w:t>
            </w:r>
            <w:r>
              <w:rPr>
                <w:sz w:val="14"/>
              </w:rPr>
              <w:t>participativo</w:t>
            </w:r>
            <w:r>
              <w:rPr>
                <w:spacing w:val="-8"/>
                <w:sz w:val="14"/>
              </w:rPr>
              <w:t> </w:t>
            </w:r>
            <w:r>
              <w:rPr>
                <w:sz w:val="14"/>
              </w:rPr>
              <w:t>socios</w:t>
            </w:r>
            <w:r>
              <w:rPr>
                <w:spacing w:val="40"/>
                <w:sz w:val="14"/>
              </w:rPr>
              <w:t> </w:t>
            </w:r>
            <w:r>
              <w:rPr>
                <w:sz w:val="14"/>
              </w:rPr>
              <w:t>(%</w:t>
            </w:r>
            <w:r>
              <w:rPr>
                <w:spacing w:val="-6"/>
                <w:sz w:val="14"/>
              </w:rPr>
              <w:t> </w:t>
            </w:r>
            <w:r>
              <w:rPr>
                <w:sz w:val="14"/>
              </w:rPr>
              <w:t>accionarial)</w:t>
            </w:r>
          </w:p>
        </w:tc>
      </w:tr>
      <w:tr>
        <w:trPr>
          <w:trHeight w:val="322" w:hRule="atLeast"/>
        </w:trPr>
        <w:tc>
          <w:tcPr>
            <w:tcW w:w="869" w:type="dxa"/>
            <w:vMerge/>
            <w:tcBorders>
              <w:top w:val="nil"/>
            </w:tcBorders>
          </w:tcPr>
          <w:p>
            <w:pPr>
              <w:rPr>
                <w:sz w:val="2"/>
                <w:szCs w:val="2"/>
              </w:rPr>
            </w:pPr>
          </w:p>
        </w:tc>
        <w:tc>
          <w:tcPr>
            <w:tcW w:w="3097" w:type="dxa"/>
          </w:tcPr>
          <w:p>
            <w:pPr>
              <w:pStyle w:val="TableParagraph"/>
              <w:spacing w:line="160" w:lineRule="atLeast"/>
              <w:ind w:left="65"/>
              <w:rPr>
                <w:sz w:val="14"/>
              </w:rPr>
            </w:pPr>
            <w:r>
              <w:rPr>
                <w:sz w:val="14"/>
              </w:rPr>
              <w:t>Fase</w:t>
            </w:r>
            <w:r>
              <w:rPr>
                <w:spacing w:val="-7"/>
                <w:sz w:val="14"/>
              </w:rPr>
              <w:t> </w:t>
            </w:r>
            <w:r>
              <w:rPr>
                <w:sz w:val="14"/>
              </w:rPr>
              <w:t>0:</w:t>
            </w:r>
            <w:r>
              <w:rPr>
                <w:spacing w:val="-5"/>
                <w:sz w:val="14"/>
              </w:rPr>
              <w:t> </w:t>
            </w:r>
            <w:r>
              <w:rPr>
                <w:sz w:val="14"/>
              </w:rPr>
              <w:t>Soterramiento</w:t>
            </w:r>
            <w:r>
              <w:rPr>
                <w:spacing w:val="-5"/>
                <w:sz w:val="14"/>
              </w:rPr>
              <w:t> </w:t>
            </w:r>
            <w:r>
              <w:rPr>
                <w:sz w:val="14"/>
              </w:rPr>
              <w:t>Santiago</w:t>
            </w:r>
            <w:r>
              <w:rPr>
                <w:spacing w:val="-5"/>
                <w:sz w:val="14"/>
              </w:rPr>
              <w:t> </w:t>
            </w:r>
            <w:r>
              <w:rPr>
                <w:sz w:val="14"/>
              </w:rPr>
              <w:t>el</w:t>
            </w:r>
            <w:r>
              <w:rPr>
                <w:spacing w:val="-5"/>
                <w:sz w:val="14"/>
              </w:rPr>
              <w:t> </w:t>
            </w:r>
            <w:r>
              <w:rPr>
                <w:sz w:val="14"/>
              </w:rPr>
              <w:t>Mayor</w:t>
            </w:r>
            <w:r>
              <w:rPr>
                <w:spacing w:val="-7"/>
                <w:sz w:val="14"/>
              </w:rPr>
              <w:t> </w:t>
            </w:r>
            <w:r>
              <w:rPr>
                <w:sz w:val="14"/>
              </w:rPr>
              <w:t>y</w:t>
            </w:r>
            <w:r>
              <w:rPr>
                <w:spacing w:val="-5"/>
                <w:sz w:val="14"/>
              </w:rPr>
              <w:t> </w:t>
            </w:r>
            <w:r>
              <w:rPr>
                <w:sz w:val="14"/>
              </w:rPr>
              <w:t>senda</w:t>
            </w:r>
            <w:r>
              <w:rPr>
                <w:spacing w:val="-5"/>
                <w:sz w:val="14"/>
              </w:rPr>
              <w:t> </w:t>
            </w:r>
            <w:r>
              <w:rPr>
                <w:sz w:val="14"/>
              </w:rPr>
              <w:t>de</w:t>
            </w:r>
            <w:r>
              <w:rPr>
                <w:spacing w:val="40"/>
                <w:sz w:val="14"/>
              </w:rPr>
              <w:t> </w:t>
            </w:r>
            <w:r>
              <w:rPr>
                <w:sz w:val="14"/>
              </w:rPr>
              <w:t>los</w:t>
            </w:r>
            <w:r>
              <w:rPr>
                <w:spacing w:val="-6"/>
                <w:sz w:val="14"/>
              </w:rPr>
              <w:t> </w:t>
            </w:r>
            <w:r>
              <w:rPr>
                <w:sz w:val="14"/>
              </w:rPr>
              <w:t>Garres.</w:t>
            </w:r>
          </w:p>
        </w:tc>
        <w:tc>
          <w:tcPr>
            <w:tcW w:w="1060" w:type="dxa"/>
          </w:tcPr>
          <w:p>
            <w:pPr>
              <w:pStyle w:val="TableParagraph"/>
              <w:spacing w:before="80"/>
              <w:ind w:right="53"/>
              <w:jc w:val="right"/>
              <w:rPr>
                <w:sz w:val="14"/>
              </w:rPr>
            </w:pPr>
            <w:r>
              <w:rPr>
                <w:spacing w:val="-2"/>
                <w:sz w:val="14"/>
              </w:rPr>
              <w:t>90,08</w:t>
            </w:r>
          </w:p>
        </w:tc>
        <w:tc>
          <w:tcPr>
            <w:tcW w:w="2909" w:type="dxa"/>
          </w:tcPr>
          <w:p>
            <w:pPr>
              <w:pStyle w:val="TableParagraph"/>
              <w:spacing w:line="160" w:lineRule="atLeast"/>
              <w:ind w:left="74"/>
              <w:rPr>
                <w:sz w:val="14"/>
              </w:rPr>
            </w:pPr>
            <w:r>
              <w:rPr>
                <w:sz w:val="14"/>
              </w:rPr>
              <w:t>Ejecución</w:t>
            </w:r>
            <w:r>
              <w:rPr>
                <w:spacing w:val="-7"/>
                <w:sz w:val="14"/>
              </w:rPr>
              <w:t> </w:t>
            </w:r>
            <w:r>
              <w:rPr>
                <w:sz w:val="14"/>
              </w:rPr>
              <w:t>y</w:t>
            </w:r>
            <w:r>
              <w:rPr>
                <w:spacing w:val="-8"/>
                <w:sz w:val="14"/>
              </w:rPr>
              <w:t> </w:t>
            </w:r>
            <w:r>
              <w:rPr>
                <w:sz w:val="14"/>
              </w:rPr>
              <w:t>pago</w:t>
            </w:r>
            <w:r>
              <w:rPr>
                <w:spacing w:val="-7"/>
                <w:sz w:val="14"/>
              </w:rPr>
              <w:t> </w:t>
            </w:r>
            <w:r>
              <w:rPr>
                <w:sz w:val="14"/>
              </w:rPr>
              <w:t>anticipado</w:t>
            </w:r>
            <w:r>
              <w:rPr>
                <w:spacing w:val="-8"/>
                <w:sz w:val="14"/>
              </w:rPr>
              <w:t> </w:t>
            </w:r>
            <w:r>
              <w:rPr>
                <w:sz w:val="14"/>
              </w:rPr>
              <w:t>por</w:t>
            </w:r>
            <w:r>
              <w:rPr>
                <w:spacing w:val="-8"/>
                <w:sz w:val="14"/>
              </w:rPr>
              <w:t> </w:t>
            </w:r>
            <w:r>
              <w:rPr>
                <w:sz w:val="14"/>
              </w:rPr>
              <w:t>Adif-Alta</w:t>
            </w:r>
            <w:r>
              <w:rPr>
                <w:spacing w:val="40"/>
                <w:sz w:val="14"/>
              </w:rPr>
              <w:t> </w:t>
            </w:r>
            <w:r>
              <w:rPr>
                <w:sz w:val="14"/>
              </w:rPr>
              <w:t>Velocidad. Repercusión a los socios</w:t>
            </w:r>
          </w:p>
        </w:tc>
      </w:tr>
      <w:tr>
        <w:trPr>
          <w:trHeight w:val="321" w:hRule="atLeast"/>
        </w:trPr>
        <w:tc>
          <w:tcPr>
            <w:tcW w:w="869" w:type="dxa"/>
            <w:vMerge/>
            <w:tcBorders>
              <w:top w:val="nil"/>
            </w:tcBorders>
          </w:tcPr>
          <w:p>
            <w:pPr>
              <w:rPr>
                <w:sz w:val="2"/>
                <w:szCs w:val="2"/>
              </w:rPr>
            </w:pPr>
          </w:p>
        </w:tc>
        <w:tc>
          <w:tcPr>
            <w:tcW w:w="3097" w:type="dxa"/>
          </w:tcPr>
          <w:p>
            <w:pPr>
              <w:pStyle w:val="TableParagraph"/>
              <w:spacing w:line="160" w:lineRule="atLeast"/>
              <w:ind w:left="65"/>
              <w:rPr>
                <w:sz w:val="14"/>
              </w:rPr>
            </w:pPr>
            <w:r>
              <w:rPr>
                <w:sz w:val="14"/>
              </w:rPr>
              <w:t>Fases</w:t>
            </w:r>
            <w:r>
              <w:rPr>
                <w:spacing w:val="-4"/>
                <w:sz w:val="14"/>
              </w:rPr>
              <w:t> </w:t>
            </w:r>
            <w:r>
              <w:rPr>
                <w:sz w:val="14"/>
              </w:rPr>
              <w:t>1</w:t>
            </w:r>
            <w:r>
              <w:rPr>
                <w:spacing w:val="-6"/>
                <w:sz w:val="14"/>
              </w:rPr>
              <w:t> </w:t>
            </w:r>
            <w:r>
              <w:rPr>
                <w:sz w:val="14"/>
              </w:rPr>
              <w:t>y</w:t>
            </w:r>
            <w:r>
              <w:rPr>
                <w:spacing w:val="-4"/>
                <w:sz w:val="14"/>
              </w:rPr>
              <w:t> </w:t>
            </w:r>
            <w:r>
              <w:rPr>
                <w:sz w:val="14"/>
              </w:rPr>
              <w:t>2:</w:t>
            </w:r>
            <w:r>
              <w:rPr>
                <w:spacing w:val="-4"/>
                <w:sz w:val="14"/>
              </w:rPr>
              <w:t> </w:t>
            </w:r>
            <w:r>
              <w:rPr>
                <w:sz w:val="14"/>
              </w:rPr>
              <w:t>Obra</w:t>
            </w:r>
            <w:r>
              <w:rPr>
                <w:spacing w:val="-6"/>
                <w:sz w:val="14"/>
              </w:rPr>
              <w:t> </w:t>
            </w:r>
            <w:r>
              <w:rPr>
                <w:sz w:val="14"/>
              </w:rPr>
              <w:t>civil,</w:t>
            </w:r>
            <w:r>
              <w:rPr>
                <w:spacing w:val="-5"/>
                <w:sz w:val="14"/>
              </w:rPr>
              <w:t> </w:t>
            </w:r>
            <w:r>
              <w:rPr>
                <w:sz w:val="14"/>
              </w:rPr>
              <w:t>vías,</w:t>
            </w:r>
            <w:r>
              <w:rPr>
                <w:spacing w:val="-5"/>
                <w:sz w:val="14"/>
              </w:rPr>
              <w:t> </w:t>
            </w:r>
            <w:r>
              <w:rPr>
                <w:sz w:val="14"/>
              </w:rPr>
              <w:t>estación</w:t>
            </w:r>
            <w:r>
              <w:rPr>
                <w:spacing w:val="-4"/>
                <w:sz w:val="14"/>
              </w:rPr>
              <w:t> </w:t>
            </w:r>
            <w:r>
              <w:rPr>
                <w:sz w:val="14"/>
              </w:rPr>
              <w:t>soterrada,</w:t>
            </w:r>
            <w:r>
              <w:rPr>
                <w:spacing w:val="40"/>
                <w:sz w:val="14"/>
              </w:rPr>
              <w:t> </w:t>
            </w:r>
            <w:r>
              <w:rPr>
                <w:sz w:val="14"/>
              </w:rPr>
              <w:t>Barriomar,</w:t>
            </w:r>
            <w:r>
              <w:rPr>
                <w:spacing w:val="-8"/>
                <w:sz w:val="14"/>
              </w:rPr>
              <w:t> </w:t>
            </w:r>
            <w:r>
              <w:rPr>
                <w:sz w:val="14"/>
              </w:rPr>
              <w:t>Nonduermas.</w:t>
            </w:r>
          </w:p>
        </w:tc>
        <w:tc>
          <w:tcPr>
            <w:tcW w:w="1060" w:type="dxa"/>
          </w:tcPr>
          <w:p>
            <w:pPr>
              <w:pStyle w:val="TableParagraph"/>
              <w:spacing w:before="80"/>
              <w:ind w:right="54"/>
              <w:jc w:val="right"/>
              <w:rPr>
                <w:sz w:val="14"/>
              </w:rPr>
            </w:pPr>
            <w:r>
              <w:rPr>
                <w:spacing w:val="-2"/>
                <w:sz w:val="14"/>
              </w:rPr>
              <w:t>333,45</w:t>
            </w:r>
          </w:p>
        </w:tc>
        <w:tc>
          <w:tcPr>
            <w:tcW w:w="2909" w:type="dxa"/>
            <w:vMerge w:val="restart"/>
          </w:tcPr>
          <w:p>
            <w:pPr>
              <w:pStyle w:val="TableParagraph"/>
              <w:spacing w:before="84"/>
              <w:rPr>
                <w:sz w:val="14"/>
              </w:rPr>
            </w:pPr>
          </w:p>
          <w:p>
            <w:pPr>
              <w:pStyle w:val="TableParagraph"/>
              <w:spacing w:before="1"/>
              <w:ind w:left="74"/>
              <w:rPr>
                <w:sz w:val="14"/>
              </w:rPr>
            </w:pPr>
            <w:r>
              <w:rPr>
                <w:sz w:val="14"/>
              </w:rPr>
              <w:t>Sociedad</w:t>
            </w:r>
            <w:r>
              <w:rPr>
                <w:spacing w:val="-4"/>
                <w:sz w:val="14"/>
              </w:rPr>
              <w:t> </w:t>
            </w:r>
            <w:r>
              <w:rPr>
                <w:sz w:val="14"/>
              </w:rPr>
              <w:t>mediante</w:t>
            </w:r>
            <w:r>
              <w:rPr>
                <w:spacing w:val="-4"/>
                <w:sz w:val="14"/>
              </w:rPr>
              <w:t> </w:t>
            </w:r>
            <w:r>
              <w:rPr>
                <w:sz w:val="14"/>
              </w:rPr>
              <w:t>aportación</w:t>
            </w:r>
            <w:r>
              <w:rPr>
                <w:spacing w:val="-5"/>
                <w:sz w:val="14"/>
              </w:rPr>
              <w:t> </w:t>
            </w:r>
            <w:r>
              <w:rPr>
                <w:sz w:val="14"/>
              </w:rPr>
              <w:t>de</w:t>
            </w:r>
            <w:r>
              <w:rPr>
                <w:spacing w:val="-5"/>
                <w:sz w:val="14"/>
              </w:rPr>
              <w:t> </w:t>
            </w:r>
            <w:r>
              <w:rPr>
                <w:sz w:val="14"/>
              </w:rPr>
              <w:t>los</w:t>
            </w:r>
            <w:r>
              <w:rPr>
                <w:spacing w:val="-4"/>
                <w:sz w:val="14"/>
              </w:rPr>
              <w:t> </w:t>
            </w:r>
            <w:r>
              <w:rPr>
                <w:sz w:val="14"/>
              </w:rPr>
              <w:t>socios</w:t>
            </w:r>
            <w:r>
              <w:rPr>
                <w:spacing w:val="-3"/>
                <w:sz w:val="14"/>
              </w:rPr>
              <w:t> </w:t>
            </w:r>
            <w:r>
              <w:rPr>
                <w:spacing w:val="-5"/>
                <w:sz w:val="14"/>
              </w:rPr>
              <w:t>(1)</w:t>
            </w:r>
          </w:p>
        </w:tc>
      </w:tr>
      <w:tr>
        <w:trPr>
          <w:trHeight w:val="321" w:hRule="atLeast"/>
        </w:trPr>
        <w:tc>
          <w:tcPr>
            <w:tcW w:w="869" w:type="dxa"/>
            <w:vMerge/>
            <w:tcBorders>
              <w:top w:val="nil"/>
            </w:tcBorders>
          </w:tcPr>
          <w:p>
            <w:pPr>
              <w:rPr>
                <w:sz w:val="2"/>
                <w:szCs w:val="2"/>
              </w:rPr>
            </w:pPr>
          </w:p>
        </w:tc>
        <w:tc>
          <w:tcPr>
            <w:tcW w:w="3097" w:type="dxa"/>
          </w:tcPr>
          <w:p>
            <w:pPr>
              <w:pStyle w:val="TableParagraph"/>
              <w:spacing w:line="160" w:lineRule="atLeast"/>
              <w:ind w:left="65"/>
              <w:rPr>
                <w:sz w:val="14"/>
              </w:rPr>
            </w:pPr>
            <w:r>
              <w:rPr>
                <w:sz w:val="14"/>
              </w:rPr>
              <w:t>Instalaciones</w:t>
            </w:r>
            <w:r>
              <w:rPr>
                <w:spacing w:val="-9"/>
                <w:sz w:val="14"/>
              </w:rPr>
              <w:t> </w:t>
            </w:r>
            <w:r>
              <w:rPr>
                <w:sz w:val="14"/>
              </w:rPr>
              <w:t>ferroviarias,</w:t>
            </w:r>
            <w:r>
              <w:rPr>
                <w:spacing w:val="-9"/>
                <w:sz w:val="14"/>
              </w:rPr>
              <w:t> </w:t>
            </w:r>
            <w:r>
              <w:rPr>
                <w:sz w:val="14"/>
              </w:rPr>
              <w:t>reposición</w:t>
            </w:r>
            <w:r>
              <w:rPr>
                <w:spacing w:val="-9"/>
                <w:sz w:val="14"/>
              </w:rPr>
              <w:t> </w:t>
            </w:r>
            <w:r>
              <w:rPr>
                <w:sz w:val="14"/>
              </w:rPr>
              <w:t>de</w:t>
            </w:r>
            <w:r>
              <w:rPr>
                <w:spacing w:val="-8"/>
                <w:sz w:val="14"/>
              </w:rPr>
              <w:t> </w:t>
            </w:r>
            <w:r>
              <w:rPr>
                <w:sz w:val="14"/>
              </w:rPr>
              <w:t>servicios</w:t>
            </w:r>
            <w:r>
              <w:rPr>
                <w:spacing w:val="40"/>
                <w:sz w:val="14"/>
              </w:rPr>
              <w:t> </w:t>
            </w:r>
            <w:r>
              <w:rPr>
                <w:sz w:val="14"/>
              </w:rPr>
              <w:t>afectados (fases 1 y 2), imprevistos y otros.</w:t>
            </w:r>
          </w:p>
        </w:tc>
        <w:tc>
          <w:tcPr>
            <w:tcW w:w="1060" w:type="dxa"/>
          </w:tcPr>
          <w:p>
            <w:pPr>
              <w:pStyle w:val="TableParagraph"/>
              <w:spacing w:before="80"/>
              <w:ind w:right="54"/>
              <w:jc w:val="right"/>
              <w:rPr>
                <w:sz w:val="14"/>
              </w:rPr>
            </w:pPr>
            <w:r>
              <w:rPr>
                <w:spacing w:val="-2"/>
                <w:sz w:val="14"/>
              </w:rPr>
              <w:t>119,62</w:t>
            </w:r>
          </w:p>
        </w:tc>
        <w:tc>
          <w:tcPr>
            <w:tcW w:w="2909" w:type="dxa"/>
            <w:vMerge/>
            <w:tcBorders>
              <w:top w:val="nil"/>
            </w:tcBorders>
          </w:tcPr>
          <w:p>
            <w:pPr>
              <w:rPr>
                <w:sz w:val="2"/>
                <w:szCs w:val="2"/>
              </w:rPr>
            </w:pPr>
          </w:p>
        </w:tc>
      </w:tr>
      <w:tr>
        <w:trPr>
          <w:trHeight w:val="226" w:hRule="atLeast"/>
        </w:trPr>
        <w:tc>
          <w:tcPr>
            <w:tcW w:w="3966" w:type="dxa"/>
            <w:gridSpan w:val="2"/>
          </w:tcPr>
          <w:p>
            <w:pPr>
              <w:pStyle w:val="TableParagraph"/>
              <w:spacing w:before="33"/>
              <w:ind w:left="70"/>
              <w:rPr>
                <w:b/>
                <w:sz w:val="14"/>
              </w:rPr>
            </w:pPr>
            <w:r>
              <w:rPr>
                <w:b/>
                <w:sz w:val="14"/>
              </w:rPr>
              <w:t>Actuaciones</w:t>
            </w:r>
            <w:r>
              <w:rPr>
                <w:b/>
                <w:spacing w:val="-5"/>
                <w:sz w:val="14"/>
              </w:rPr>
              <w:t> </w:t>
            </w:r>
            <w:r>
              <w:rPr>
                <w:b/>
                <w:sz w:val="14"/>
              </w:rPr>
              <w:t>de</w:t>
            </w:r>
            <w:r>
              <w:rPr>
                <w:b/>
                <w:spacing w:val="-7"/>
                <w:sz w:val="14"/>
              </w:rPr>
              <w:t> </w:t>
            </w:r>
            <w:r>
              <w:rPr>
                <w:b/>
                <w:sz w:val="14"/>
              </w:rPr>
              <w:t>integración</w:t>
            </w:r>
            <w:r>
              <w:rPr>
                <w:b/>
                <w:spacing w:val="-4"/>
                <w:sz w:val="14"/>
              </w:rPr>
              <w:t> </w:t>
            </w:r>
            <w:r>
              <w:rPr>
                <w:b/>
                <w:spacing w:val="-2"/>
                <w:sz w:val="14"/>
              </w:rPr>
              <w:t>ferroviaria.</w:t>
            </w:r>
          </w:p>
        </w:tc>
        <w:tc>
          <w:tcPr>
            <w:tcW w:w="1060" w:type="dxa"/>
          </w:tcPr>
          <w:p>
            <w:pPr>
              <w:pStyle w:val="TableParagraph"/>
              <w:spacing w:before="33"/>
              <w:ind w:right="54"/>
              <w:jc w:val="right"/>
              <w:rPr>
                <w:b/>
                <w:sz w:val="14"/>
              </w:rPr>
            </w:pPr>
            <w:r>
              <w:rPr>
                <w:b/>
                <w:spacing w:val="-2"/>
                <w:sz w:val="14"/>
              </w:rPr>
              <w:t>549,25</w:t>
            </w:r>
          </w:p>
        </w:tc>
        <w:tc>
          <w:tcPr>
            <w:tcW w:w="2909" w:type="dxa"/>
          </w:tcPr>
          <w:p>
            <w:pPr>
              <w:pStyle w:val="TableParagraph"/>
              <w:rPr>
                <w:sz w:val="16"/>
              </w:rPr>
            </w:pPr>
          </w:p>
        </w:tc>
      </w:tr>
      <w:tr>
        <w:trPr>
          <w:trHeight w:val="228" w:hRule="atLeast"/>
        </w:trPr>
        <w:tc>
          <w:tcPr>
            <w:tcW w:w="3966" w:type="dxa"/>
            <w:gridSpan w:val="2"/>
          </w:tcPr>
          <w:p>
            <w:pPr>
              <w:pStyle w:val="TableParagraph"/>
              <w:spacing w:before="34"/>
              <w:ind w:left="70"/>
              <w:rPr>
                <w:b/>
                <w:sz w:val="14"/>
              </w:rPr>
            </w:pPr>
            <w:r>
              <w:rPr>
                <w:b/>
                <w:sz w:val="14"/>
              </w:rPr>
              <w:t>Actuaciones</w:t>
            </w:r>
            <w:r>
              <w:rPr>
                <w:b/>
                <w:spacing w:val="-6"/>
                <w:sz w:val="14"/>
              </w:rPr>
              <w:t> </w:t>
            </w:r>
            <w:r>
              <w:rPr>
                <w:b/>
                <w:sz w:val="14"/>
              </w:rPr>
              <w:t>urbanísticas</w:t>
            </w:r>
            <w:r>
              <w:rPr>
                <w:b/>
                <w:spacing w:val="-6"/>
                <w:sz w:val="14"/>
              </w:rPr>
              <w:t> </w:t>
            </w:r>
            <w:r>
              <w:rPr>
                <w:b/>
                <w:sz w:val="14"/>
              </w:rPr>
              <w:t>(proyectos</w:t>
            </w:r>
            <w:r>
              <w:rPr>
                <w:b/>
                <w:spacing w:val="-6"/>
                <w:sz w:val="14"/>
              </w:rPr>
              <w:t> </w:t>
            </w:r>
            <w:r>
              <w:rPr>
                <w:b/>
                <w:sz w:val="14"/>
              </w:rPr>
              <w:t>y</w:t>
            </w:r>
            <w:r>
              <w:rPr>
                <w:b/>
                <w:spacing w:val="-6"/>
                <w:sz w:val="14"/>
              </w:rPr>
              <w:t> </w:t>
            </w:r>
            <w:r>
              <w:rPr>
                <w:b/>
                <w:spacing w:val="-2"/>
                <w:sz w:val="14"/>
              </w:rPr>
              <w:t>obras).</w:t>
            </w:r>
          </w:p>
        </w:tc>
        <w:tc>
          <w:tcPr>
            <w:tcW w:w="1060" w:type="dxa"/>
          </w:tcPr>
          <w:p>
            <w:pPr>
              <w:pStyle w:val="TableParagraph"/>
              <w:spacing w:before="34"/>
              <w:ind w:right="53"/>
              <w:jc w:val="right"/>
              <w:rPr>
                <w:sz w:val="14"/>
              </w:rPr>
            </w:pPr>
            <w:r>
              <w:rPr>
                <w:spacing w:val="-2"/>
                <w:sz w:val="14"/>
              </w:rPr>
              <w:t>38,90</w:t>
            </w:r>
          </w:p>
        </w:tc>
        <w:tc>
          <w:tcPr>
            <w:tcW w:w="2909" w:type="dxa"/>
            <w:vMerge w:val="restart"/>
          </w:tcPr>
          <w:p>
            <w:pPr>
              <w:pStyle w:val="TableParagraph"/>
              <w:spacing w:before="110"/>
              <w:rPr>
                <w:sz w:val="14"/>
              </w:rPr>
            </w:pPr>
          </w:p>
          <w:p>
            <w:pPr>
              <w:pStyle w:val="TableParagraph"/>
              <w:ind w:left="74"/>
              <w:rPr>
                <w:sz w:val="14"/>
              </w:rPr>
            </w:pPr>
            <w:r>
              <w:rPr>
                <w:sz w:val="14"/>
              </w:rPr>
              <w:t>Sociedad</w:t>
            </w:r>
            <w:r>
              <w:rPr>
                <w:spacing w:val="-4"/>
                <w:sz w:val="14"/>
              </w:rPr>
              <w:t> </w:t>
            </w:r>
            <w:r>
              <w:rPr>
                <w:sz w:val="14"/>
              </w:rPr>
              <w:t>mediante</w:t>
            </w:r>
            <w:r>
              <w:rPr>
                <w:spacing w:val="-4"/>
                <w:sz w:val="14"/>
              </w:rPr>
              <w:t> </w:t>
            </w:r>
            <w:r>
              <w:rPr>
                <w:sz w:val="14"/>
              </w:rPr>
              <w:t>aportación</w:t>
            </w:r>
            <w:r>
              <w:rPr>
                <w:spacing w:val="-5"/>
                <w:sz w:val="14"/>
              </w:rPr>
              <w:t> </w:t>
            </w:r>
            <w:r>
              <w:rPr>
                <w:sz w:val="14"/>
              </w:rPr>
              <w:t>de</w:t>
            </w:r>
            <w:r>
              <w:rPr>
                <w:spacing w:val="-5"/>
                <w:sz w:val="14"/>
              </w:rPr>
              <w:t> </w:t>
            </w:r>
            <w:r>
              <w:rPr>
                <w:sz w:val="14"/>
              </w:rPr>
              <w:t>los</w:t>
            </w:r>
            <w:r>
              <w:rPr>
                <w:spacing w:val="-4"/>
                <w:sz w:val="14"/>
              </w:rPr>
              <w:t> </w:t>
            </w:r>
            <w:r>
              <w:rPr>
                <w:sz w:val="14"/>
              </w:rPr>
              <w:t>socios</w:t>
            </w:r>
            <w:r>
              <w:rPr>
                <w:spacing w:val="-3"/>
                <w:sz w:val="14"/>
              </w:rPr>
              <w:t> </w:t>
            </w:r>
            <w:r>
              <w:rPr>
                <w:spacing w:val="-5"/>
                <w:sz w:val="14"/>
              </w:rPr>
              <w:t>(1)</w:t>
            </w:r>
          </w:p>
        </w:tc>
      </w:tr>
      <w:tr>
        <w:trPr>
          <w:trHeight w:val="226" w:hRule="atLeast"/>
        </w:trPr>
        <w:tc>
          <w:tcPr>
            <w:tcW w:w="869" w:type="dxa"/>
            <w:vMerge w:val="restart"/>
          </w:tcPr>
          <w:p>
            <w:pPr>
              <w:pStyle w:val="TableParagraph"/>
              <w:spacing w:before="70"/>
              <w:ind w:left="70"/>
              <w:rPr>
                <w:b/>
                <w:sz w:val="14"/>
              </w:rPr>
            </w:pPr>
            <w:r>
              <w:rPr>
                <w:b/>
                <w:spacing w:val="-2"/>
                <w:sz w:val="14"/>
              </w:rPr>
              <w:t>Otras</w:t>
            </w:r>
            <w:r>
              <w:rPr>
                <w:b/>
                <w:spacing w:val="40"/>
                <w:sz w:val="14"/>
              </w:rPr>
              <w:t> </w:t>
            </w:r>
            <w:r>
              <w:rPr>
                <w:b/>
                <w:spacing w:val="-2"/>
                <w:sz w:val="14"/>
              </w:rPr>
              <w:t>actuaciones</w:t>
            </w:r>
          </w:p>
        </w:tc>
        <w:tc>
          <w:tcPr>
            <w:tcW w:w="3097" w:type="dxa"/>
          </w:tcPr>
          <w:p>
            <w:pPr>
              <w:pStyle w:val="TableParagraph"/>
              <w:spacing w:before="33"/>
              <w:ind w:left="65"/>
              <w:rPr>
                <w:sz w:val="14"/>
              </w:rPr>
            </w:pPr>
            <w:r>
              <w:rPr>
                <w:sz w:val="14"/>
              </w:rPr>
              <w:t>Intermodalidad</w:t>
            </w:r>
            <w:r>
              <w:rPr>
                <w:spacing w:val="-6"/>
                <w:sz w:val="14"/>
              </w:rPr>
              <w:t> </w:t>
            </w:r>
            <w:r>
              <w:rPr>
                <w:sz w:val="14"/>
              </w:rPr>
              <w:t>estación</w:t>
            </w:r>
            <w:r>
              <w:rPr>
                <w:spacing w:val="-6"/>
                <w:sz w:val="14"/>
              </w:rPr>
              <w:t> </w:t>
            </w:r>
            <w:r>
              <w:rPr>
                <w:spacing w:val="-2"/>
                <w:sz w:val="14"/>
              </w:rPr>
              <w:t>autobuses.</w:t>
            </w:r>
          </w:p>
        </w:tc>
        <w:tc>
          <w:tcPr>
            <w:tcW w:w="1060" w:type="dxa"/>
          </w:tcPr>
          <w:p>
            <w:pPr>
              <w:pStyle w:val="TableParagraph"/>
              <w:spacing w:before="33"/>
              <w:ind w:right="53"/>
              <w:jc w:val="right"/>
              <w:rPr>
                <w:sz w:val="14"/>
              </w:rPr>
            </w:pPr>
            <w:r>
              <w:rPr>
                <w:spacing w:val="-2"/>
                <w:sz w:val="14"/>
              </w:rPr>
              <w:t>16,63</w:t>
            </w:r>
          </w:p>
        </w:tc>
        <w:tc>
          <w:tcPr>
            <w:tcW w:w="2909" w:type="dxa"/>
            <w:vMerge/>
            <w:tcBorders>
              <w:top w:val="nil"/>
            </w:tcBorders>
          </w:tcPr>
          <w:p>
            <w:pPr>
              <w:rPr>
                <w:sz w:val="2"/>
                <w:szCs w:val="2"/>
              </w:rPr>
            </w:pPr>
          </w:p>
        </w:tc>
      </w:tr>
      <w:tr>
        <w:trPr>
          <w:trHeight w:val="227" w:hRule="atLeast"/>
        </w:trPr>
        <w:tc>
          <w:tcPr>
            <w:tcW w:w="869" w:type="dxa"/>
            <w:vMerge/>
            <w:tcBorders>
              <w:top w:val="nil"/>
            </w:tcBorders>
          </w:tcPr>
          <w:p>
            <w:pPr>
              <w:rPr>
                <w:sz w:val="2"/>
                <w:szCs w:val="2"/>
              </w:rPr>
            </w:pPr>
          </w:p>
        </w:tc>
        <w:tc>
          <w:tcPr>
            <w:tcW w:w="3097" w:type="dxa"/>
          </w:tcPr>
          <w:p>
            <w:pPr>
              <w:pStyle w:val="TableParagraph"/>
              <w:spacing w:before="33"/>
              <w:ind w:left="65"/>
              <w:rPr>
                <w:sz w:val="14"/>
              </w:rPr>
            </w:pPr>
            <w:r>
              <w:rPr>
                <w:sz w:val="14"/>
              </w:rPr>
              <w:t>Aparcamiento</w:t>
            </w:r>
            <w:r>
              <w:rPr>
                <w:spacing w:val="-5"/>
                <w:sz w:val="14"/>
              </w:rPr>
              <w:t> </w:t>
            </w:r>
            <w:r>
              <w:rPr>
                <w:spacing w:val="-2"/>
                <w:sz w:val="14"/>
              </w:rPr>
              <w:t>estación.</w:t>
            </w:r>
          </w:p>
        </w:tc>
        <w:tc>
          <w:tcPr>
            <w:tcW w:w="1060" w:type="dxa"/>
          </w:tcPr>
          <w:p>
            <w:pPr>
              <w:pStyle w:val="TableParagraph"/>
              <w:spacing w:before="33"/>
              <w:ind w:right="53"/>
              <w:jc w:val="right"/>
              <w:rPr>
                <w:sz w:val="14"/>
              </w:rPr>
            </w:pPr>
            <w:r>
              <w:rPr>
                <w:spacing w:val="-4"/>
                <w:sz w:val="14"/>
              </w:rPr>
              <w:t>8,32</w:t>
            </w:r>
          </w:p>
        </w:tc>
        <w:tc>
          <w:tcPr>
            <w:tcW w:w="2909" w:type="dxa"/>
            <w:vMerge/>
            <w:tcBorders>
              <w:top w:val="nil"/>
            </w:tcBorders>
          </w:tcPr>
          <w:p>
            <w:pPr>
              <w:rPr>
                <w:sz w:val="2"/>
                <w:szCs w:val="2"/>
              </w:rPr>
            </w:pPr>
          </w:p>
        </w:tc>
      </w:tr>
      <w:tr>
        <w:trPr>
          <w:trHeight w:val="226" w:hRule="atLeast"/>
        </w:trPr>
        <w:tc>
          <w:tcPr>
            <w:tcW w:w="3966" w:type="dxa"/>
            <w:gridSpan w:val="2"/>
          </w:tcPr>
          <w:p>
            <w:pPr>
              <w:pStyle w:val="TableParagraph"/>
              <w:spacing w:before="33"/>
              <w:ind w:left="70"/>
              <w:rPr>
                <w:b/>
                <w:sz w:val="14"/>
              </w:rPr>
            </w:pPr>
            <w:r>
              <w:rPr>
                <w:b/>
                <w:sz w:val="14"/>
              </w:rPr>
              <w:t>Costes</w:t>
            </w:r>
            <w:r>
              <w:rPr>
                <w:b/>
                <w:spacing w:val="-3"/>
                <w:sz w:val="14"/>
              </w:rPr>
              <w:t> </w:t>
            </w:r>
            <w:r>
              <w:rPr>
                <w:b/>
                <w:spacing w:val="-2"/>
                <w:sz w:val="14"/>
              </w:rPr>
              <w:t>Operativos</w:t>
            </w:r>
          </w:p>
        </w:tc>
        <w:tc>
          <w:tcPr>
            <w:tcW w:w="1060" w:type="dxa"/>
          </w:tcPr>
          <w:p>
            <w:pPr>
              <w:pStyle w:val="TableParagraph"/>
              <w:spacing w:before="33"/>
              <w:ind w:right="53"/>
              <w:jc w:val="right"/>
              <w:rPr>
                <w:sz w:val="14"/>
              </w:rPr>
            </w:pPr>
            <w:r>
              <w:rPr>
                <w:spacing w:val="-4"/>
                <w:sz w:val="14"/>
              </w:rPr>
              <w:t>3,65</w:t>
            </w:r>
          </w:p>
        </w:tc>
        <w:tc>
          <w:tcPr>
            <w:tcW w:w="2909" w:type="dxa"/>
            <w:vMerge w:val="restart"/>
          </w:tcPr>
          <w:p>
            <w:pPr>
              <w:pStyle w:val="TableParagraph"/>
              <w:spacing w:before="70"/>
              <w:ind w:left="74"/>
              <w:rPr>
                <w:sz w:val="14"/>
              </w:rPr>
            </w:pPr>
            <w:r>
              <w:rPr>
                <w:sz w:val="14"/>
              </w:rPr>
              <w:t>Sociedad</w:t>
            </w:r>
            <w:r>
              <w:rPr>
                <w:spacing w:val="-9"/>
                <w:sz w:val="14"/>
              </w:rPr>
              <w:t> </w:t>
            </w:r>
            <w:r>
              <w:rPr>
                <w:sz w:val="14"/>
              </w:rPr>
              <w:t>mediante</w:t>
            </w:r>
            <w:r>
              <w:rPr>
                <w:spacing w:val="-9"/>
                <w:sz w:val="14"/>
              </w:rPr>
              <w:t> </w:t>
            </w:r>
            <w:r>
              <w:rPr>
                <w:sz w:val="14"/>
              </w:rPr>
              <w:t>préstamo</w:t>
            </w:r>
            <w:r>
              <w:rPr>
                <w:spacing w:val="-9"/>
                <w:sz w:val="14"/>
              </w:rPr>
              <w:t> </w:t>
            </w:r>
            <w:r>
              <w:rPr>
                <w:sz w:val="14"/>
              </w:rPr>
              <w:t>participativo</w:t>
            </w:r>
            <w:r>
              <w:rPr>
                <w:spacing w:val="-8"/>
                <w:sz w:val="14"/>
              </w:rPr>
              <w:t> </w:t>
            </w:r>
            <w:r>
              <w:rPr>
                <w:sz w:val="14"/>
              </w:rPr>
              <w:t>socios</w:t>
            </w:r>
            <w:r>
              <w:rPr>
                <w:spacing w:val="40"/>
                <w:sz w:val="14"/>
              </w:rPr>
              <w:t> </w:t>
            </w:r>
            <w:r>
              <w:rPr>
                <w:sz w:val="14"/>
              </w:rPr>
              <w:t>(% accionarial) / aportación de los socios (1)</w:t>
            </w:r>
          </w:p>
        </w:tc>
      </w:tr>
      <w:tr>
        <w:trPr>
          <w:trHeight w:val="227" w:hRule="atLeast"/>
        </w:trPr>
        <w:tc>
          <w:tcPr>
            <w:tcW w:w="3966" w:type="dxa"/>
            <w:gridSpan w:val="2"/>
          </w:tcPr>
          <w:p>
            <w:pPr>
              <w:pStyle w:val="TableParagraph"/>
              <w:spacing w:before="33"/>
              <w:ind w:left="70"/>
              <w:rPr>
                <w:b/>
                <w:sz w:val="14"/>
              </w:rPr>
            </w:pPr>
            <w:r>
              <w:rPr>
                <w:b/>
                <w:sz w:val="14"/>
              </w:rPr>
              <w:t>Costes</w:t>
            </w:r>
            <w:r>
              <w:rPr>
                <w:b/>
                <w:spacing w:val="-7"/>
                <w:sz w:val="14"/>
              </w:rPr>
              <w:t> </w:t>
            </w:r>
            <w:r>
              <w:rPr>
                <w:b/>
                <w:spacing w:val="-2"/>
                <w:sz w:val="14"/>
              </w:rPr>
              <w:t>Financieros</w:t>
            </w:r>
          </w:p>
        </w:tc>
        <w:tc>
          <w:tcPr>
            <w:tcW w:w="1060" w:type="dxa"/>
          </w:tcPr>
          <w:p>
            <w:pPr>
              <w:pStyle w:val="TableParagraph"/>
              <w:spacing w:before="33"/>
              <w:ind w:right="53"/>
              <w:jc w:val="right"/>
              <w:rPr>
                <w:sz w:val="14"/>
              </w:rPr>
            </w:pPr>
            <w:r>
              <w:rPr>
                <w:spacing w:val="-4"/>
                <w:sz w:val="14"/>
              </w:rPr>
              <w:t>0,50</w:t>
            </w:r>
          </w:p>
        </w:tc>
        <w:tc>
          <w:tcPr>
            <w:tcW w:w="2909" w:type="dxa"/>
            <w:vMerge/>
            <w:tcBorders>
              <w:top w:val="nil"/>
            </w:tcBorders>
          </w:tcPr>
          <w:p>
            <w:pPr>
              <w:rPr>
                <w:sz w:val="2"/>
                <w:szCs w:val="2"/>
              </w:rPr>
            </w:pPr>
          </w:p>
        </w:tc>
      </w:tr>
      <w:tr>
        <w:trPr>
          <w:trHeight w:val="322" w:hRule="atLeast"/>
        </w:trPr>
        <w:tc>
          <w:tcPr>
            <w:tcW w:w="869" w:type="dxa"/>
          </w:tcPr>
          <w:p>
            <w:pPr>
              <w:pStyle w:val="TableParagraph"/>
              <w:rPr>
                <w:sz w:val="18"/>
              </w:rPr>
            </w:pPr>
          </w:p>
        </w:tc>
        <w:tc>
          <w:tcPr>
            <w:tcW w:w="3097" w:type="dxa"/>
          </w:tcPr>
          <w:p>
            <w:pPr>
              <w:pStyle w:val="TableParagraph"/>
              <w:spacing w:line="160" w:lineRule="atLeast"/>
              <w:ind w:left="1196" w:hanging="860"/>
              <w:rPr>
                <w:b/>
                <w:sz w:val="14"/>
              </w:rPr>
            </w:pPr>
            <w:r>
              <w:rPr>
                <w:b/>
                <w:sz w:val="14"/>
              </w:rPr>
              <w:t>Total</w:t>
            </w:r>
            <w:r>
              <w:rPr>
                <w:b/>
                <w:spacing w:val="-8"/>
                <w:sz w:val="14"/>
              </w:rPr>
              <w:t> </w:t>
            </w:r>
            <w:r>
              <w:rPr>
                <w:b/>
                <w:sz w:val="14"/>
              </w:rPr>
              <w:t>Actuaciones</w:t>
            </w:r>
            <w:r>
              <w:rPr>
                <w:b/>
                <w:spacing w:val="-9"/>
                <w:sz w:val="14"/>
              </w:rPr>
              <w:t> </w:t>
            </w:r>
            <w:r>
              <w:rPr>
                <w:b/>
                <w:sz w:val="14"/>
              </w:rPr>
              <w:t>+</w:t>
            </w:r>
            <w:r>
              <w:rPr>
                <w:b/>
                <w:spacing w:val="-8"/>
                <w:sz w:val="14"/>
              </w:rPr>
              <w:t> </w:t>
            </w:r>
            <w:r>
              <w:rPr>
                <w:b/>
                <w:sz w:val="14"/>
              </w:rPr>
              <w:t>Costes</w:t>
            </w:r>
            <w:r>
              <w:rPr>
                <w:b/>
                <w:spacing w:val="-7"/>
                <w:sz w:val="14"/>
              </w:rPr>
              <w:t> </w:t>
            </w:r>
            <w:r>
              <w:rPr>
                <w:b/>
                <w:sz w:val="14"/>
              </w:rPr>
              <w:t>Operativos</w:t>
            </w:r>
            <w:r>
              <w:rPr>
                <w:b/>
                <w:spacing w:val="-7"/>
                <w:sz w:val="14"/>
              </w:rPr>
              <w:t> </w:t>
            </w:r>
            <w:r>
              <w:rPr>
                <w:b/>
                <w:sz w:val="14"/>
              </w:rPr>
              <w:t>y</w:t>
            </w:r>
            <w:r>
              <w:rPr>
                <w:b/>
                <w:spacing w:val="40"/>
                <w:sz w:val="14"/>
              </w:rPr>
              <w:t> </w:t>
            </w:r>
            <w:r>
              <w:rPr>
                <w:b/>
                <w:spacing w:val="-2"/>
                <w:sz w:val="14"/>
              </w:rPr>
              <w:t>Financieros</w:t>
            </w:r>
          </w:p>
        </w:tc>
        <w:tc>
          <w:tcPr>
            <w:tcW w:w="1060" w:type="dxa"/>
          </w:tcPr>
          <w:p>
            <w:pPr>
              <w:pStyle w:val="TableParagraph"/>
              <w:spacing w:before="80"/>
              <w:ind w:right="54"/>
              <w:jc w:val="right"/>
              <w:rPr>
                <w:b/>
                <w:sz w:val="14"/>
              </w:rPr>
            </w:pPr>
            <w:r>
              <w:rPr>
                <w:b/>
                <w:spacing w:val="-2"/>
                <w:sz w:val="14"/>
              </w:rPr>
              <w:t>617,25</w:t>
            </w:r>
          </w:p>
        </w:tc>
        <w:tc>
          <w:tcPr>
            <w:tcW w:w="2909" w:type="dxa"/>
          </w:tcPr>
          <w:p>
            <w:pPr>
              <w:pStyle w:val="TableParagraph"/>
              <w:rPr>
                <w:sz w:val="18"/>
              </w:rPr>
            </w:pPr>
          </w:p>
        </w:tc>
      </w:tr>
    </w:tbl>
    <w:p>
      <w:pPr>
        <w:spacing w:before="4"/>
        <w:ind w:left="1563" w:right="1523" w:firstLine="0"/>
        <w:jc w:val="both"/>
        <w:rPr>
          <w:sz w:val="14"/>
        </w:rPr>
      </w:pPr>
      <w:r>
        <w:rPr>
          <w:sz w:val="14"/>
        </w:rPr>
        <w:t>(1)</w:t>
      </w:r>
      <w:r>
        <w:rPr>
          <w:spacing w:val="-2"/>
          <w:sz w:val="14"/>
        </w:rPr>
        <w:t> </w:t>
      </w:r>
      <w:r>
        <w:rPr>
          <w:sz w:val="14"/>
        </w:rPr>
        <w:t>La aportación</w:t>
      </w:r>
      <w:r>
        <w:rPr>
          <w:spacing w:val="-2"/>
          <w:sz w:val="14"/>
        </w:rPr>
        <w:t> </w:t>
      </w:r>
      <w:r>
        <w:rPr>
          <w:sz w:val="14"/>
        </w:rPr>
        <w:t>de los</w:t>
      </w:r>
      <w:r>
        <w:rPr>
          <w:spacing w:val="-2"/>
          <w:sz w:val="14"/>
        </w:rPr>
        <w:t> </w:t>
      </w:r>
      <w:r>
        <w:rPr>
          <w:sz w:val="14"/>
        </w:rPr>
        <w:t>socios se realizará a través de</w:t>
      </w:r>
      <w:r>
        <w:rPr>
          <w:spacing w:val="-1"/>
          <w:sz w:val="14"/>
        </w:rPr>
        <w:t> </w:t>
      </w:r>
      <w:r>
        <w:rPr>
          <w:sz w:val="14"/>
        </w:rPr>
        <w:t>un</w:t>
      </w:r>
      <w:r>
        <w:rPr>
          <w:spacing w:val="-2"/>
          <w:sz w:val="14"/>
        </w:rPr>
        <w:t> </w:t>
      </w:r>
      <w:r>
        <w:rPr>
          <w:sz w:val="14"/>
        </w:rPr>
        <w:t>préstamo participativo</w:t>
      </w:r>
      <w:r>
        <w:rPr>
          <w:spacing w:val="-2"/>
          <w:sz w:val="14"/>
        </w:rPr>
        <w:t> </w:t>
      </w:r>
      <w:r>
        <w:rPr>
          <w:sz w:val="14"/>
        </w:rPr>
        <w:t>o mecanismo</w:t>
      </w:r>
      <w:r>
        <w:rPr>
          <w:spacing w:val="-2"/>
          <w:sz w:val="14"/>
        </w:rPr>
        <w:t> </w:t>
      </w:r>
      <w:r>
        <w:rPr>
          <w:sz w:val="14"/>
        </w:rPr>
        <w:t>que proceda en función</w:t>
      </w:r>
      <w:r>
        <w:rPr>
          <w:spacing w:val="-2"/>
          <w:sz w:val="14"/>
        </w:rPr>
        <w:t> </w:t>
      </w:r>
      <w:r>
        <w:rPr>
          <w:sz w:val="14"/>
        </w:rPr>
        <w:t>de</w:t>
      </w:r>
      <w:r>
        <w:rPr>
          <w:spacing w:val="-2"/>
          <w:sz w:val="14"/>
        </w:rPr>
        <w:t> </w:t>
      </w:r>
      <w:r>
        <w:rPr>
          <w:sz w:val="14"/>
        </w:rPr>
        <w:t>los porcentajes</w:t>
      </w:r>
      <w:r>
        <w:rPr>
          <w:spacing w:val="40"/>
          <w:sz w:val="14"/>
        </w:rPr>
        <w:t> </w:t>
      </w:r>
      <w:r>
        <w:rPr>
          <w:sz w:val="14"/>
        </w:rPr>
        <w:t>derivados</w:t>
      </w:r>
      <w:r>
        <w:rPr>
          <w:spacing w:val="-3"/>
          <w:sz w:val="14"/>
        </w:rPr>
        <w:t> </w:t>
      </w:r>
      <w:r>
        <w:rPr>
          <w:sz w:val="14"/>
        </w:rPr>
        <w:t>del</w:t>
      </w:r>
      <w:r>
        <w:rPr>
          <w:spacing w:val="-1"/>
          <w:sz w:val="14"/>
        </w:rPr>
        <w:t> </w:t>
      </w:r>
      <w:r>
        <w:rPr>
          <w:sz w:val="14"/>
        </w:rPr>
        <w:t>acuerdo</w:t>
      </w:r>
      <w:r>
        <w:rPr>
          <w:spacing w:val="-1"/>
          <w:sz w:val="14"/>
        </w:rPr>
        <w:t> </w:t>
      </w:r>
      <w:r>
        <w:rPr>
          <w:sz w:val="14"/>
        </w:rPr>
        <w:t>VI</w:t>
      </w:r>
      <w:r>
        <w:rPr>
          <w:spacing w:val="-3"/>
          <w:sz w:val="14"/>
        </w:rPr>
        <w:t> </w:t>
      </w:r>
      <w:r>
        <w:rPr>
          <w:sz w:val="14"/>
        </w:rPr>
        <w:t>del</w:t>
      </w:r>
      <w:r>
        <w:rPr>
          <w:spacing w:val="-1"/>
          <w:sz w:val="14"/>
        </w:rPr>
        <w:t> </w:t>
      </w:r>
      <w:r>
        <w:rPr>
          <w:sz w:val="14"/>
        </w:rPr>
        <w:t>documento</w:t>
      </w:r>
      <w:r>
        <w:rPr>
          <w:spacing w:val="-3"/>
          <w:sz w:val="14"/>
        </w:rPr>
        <w:t> </w:t>
      </w:r>
      <w:r>
        <w:rPr>
          <w:sz w:val="14"/>
        </w:rPr>
        <w:t>de</w:t>
      </w:r>
      <w:r>
        <w:rPr>
          <w:spacing w:val="-1"/>
          <w:sz w:val="14"/>
        </w:rPr>
        <w:t> </w:t>
      </w:r>
      <w:r>
        <w:rPr>
          <w:sz w:val="14"/>
        </w:rPr>
        <w:t>junio</w:t>
      </w:r>
      <w:r>
        <w:rPr>
          <w:spacing w:val="-3"/>
          <w:sz w:val="14"/>
        </w:rPr>
        <w:t> </w:t>
      </w:r>
      <w:r>
        <w:rPr>
          <w:sz w:val="14"/>
        </w:rPr>
        <w:t>de</w:t>
      </w:r>
      <w:r>
        <w:rPr>
          <w:spacing w:val="-1"/>
          <w:sz w:val="14"/>
        </w:rPr>
        <w:t> </w:t>
      </w:r>
      <w:r>
        <w:rPr>
          <w:sz w:val="14"/>
        </w:rPr>
        <w:t>2006</w:t>
      </w:r>
      <w:r>
        <w:rPr>
          <w:spacing w:val="-3"/>
          <w:sz w:val="14"/>
        </w:rPr>
        <w:t> </w:t>
      </w:r>
      <w:r>
        <w:rPr>
          <w:sz w:val="14"/>
        </w:rPr>
        <w:t>indicados</w:t>
      </w:r>
      <w:r>
        <w:rPr>
          <w:spacing w:val="-1"/>
          <w:sz w:val="14"/>
        </w:rPr>
        <w:t> </w:t>
      </w:r>
      <w:r>
        <w:rPr>
          <w:sz w:val="14"/>
        </w:rPr>
        <w:t>en</w:t>
      </w:r>
      <w:r>
        <w:rPr>
          <w:spacing w:val="-1"/>
          <w:sz w:val="14"/>
        </w:rPr>
        <w:t> </w:t>
      </w:r>
      <w:r>
        <w:rPr>
          <w:sz w:val="14"/>
        </w:rPr>
        <w:t>el</w:t>
      </w:r>
      <w:r>
        <w:rPr>
          <w:spacing w:val="-1"/>
          <w:sz w:val="14"/>
        </w:rPr>
        <w:t> </w:t>
      </w:r>
      <w:r>
        <w:rPr>
          <w:sz w:val="14"/>
        </w:rPr>
        <w:t>exponendo</w:t>
      </w:r>
      <w:r>
        <w:rPr>
          <w:spacing w:val="-2"/>
          <w:sz w:val="14"/>
        </w:rPr>
        <w:t> </w:t>
      </w:r>
      <w:r>
        <w:rPr>
          <w:sz w:val="14"/>
        </w:rPr>
        <w:t>III</w:t>
      </w:r>
      <w:r>
        <w:rPr>
          <w:spacing w:val="-2"/>
          <w:sz w:val="14"/>
        </w:rPr>
        <w:t> </w:t>
      </w:r>
      <w:r>
        <w:rPr>
          <w:sz w:val="14"/>
        </w:rPr>
        <w:t>(66%</w:t>
      </w:r>
      <w:r>
        <w:rPr>
          <w:spacing w:val="-2"/>
          <w:sz w:val="14"/>
        </w:rPr>
        <w:t> </w:t>
      </w:r>
      <w:r>
        <w:rPr>
          <w:sz w:val="14"/>
        </w:rPr>
        <w:t>Grupo</w:t>
      </w:r>
      <w:r>
        <w:rPr>
          <w:spacing w:val="-1"/>
          <w:sz w:val="14"/>
        </w:rPr>
        <w:t> </w:t>
      </w:r>
      <w:r>
        <w:rPr>
          <w:sz w:val="14"/>
        </w:rPr>
        <w:t>Fomento,</w:t>
      </w:r>
      <w:r>
        <w:rPr>
          <w:spacing w:val="-2"/>
          <w:sz w:val="14"/>
        </w:rPr>
        <w:t> </w:t>
      </w:r>
      <w:r>
        <w:rPr>
          <w:sz w:val="14"/>
        </w:rPr>
        <w:t>26%</w:t>
      </w:r>
      <w:r>
        <w:rPr>
          <w:spacing w:val="-1"/>
          <w:sz w:val="14"/>
        </w:rPr>
        <w:t> </w:t>
      </w:r>
      <w:r>
        <w:rPr>
          <w:sz w:val="14"/>
        </w:rPr>
        <w:t>Región</w:t>
      </w:r>
      <w:r>
        <w:rPr>
          <w:spacing w:val="-1"/>
          <w:sz w:val="14"/>
        </w:rPr>
        <w:t> </w:t>
      </w:r>
      <w:r>
        <w:rPr>
          <w:sz w:val="14"/>
        </w:rPr>
        <w:t>de</w:t>
      </w:r>
      <w:r>
        <w:rPr>
          <w:spacing w:val="-1"/>
          <w:sz w:val="14"/>
        </w:rPr>
        <w:t> </w:t>
      </w:r>
      <w:r>
        <w:rPr>
          <w:sz w:val="14"/>
        </w:rPr>
        <w:t>Murcia</w:t>
      </w:r>
      <w:r>
        <w:rPr>
          <w:spacing w:val="-3"/>
          <w:sz w:val="14"/>
        </w:rPr>
        <w:t> </w:t>
      </w:r>
      <w:r>
        <w:rPr>
          <w:sz w:val="14"/>
        </w:rPr>
        <w:t>y</w:t>
      </w:r>
      <w:r>
        <w:rPr>
          <w:spacing w:val="40"/>
          <w:sz w:val="14"/>
        </w:rPr>
        <w:t> </w:t>
      </w:r>
      <w:r>
        <w:rPr>
          <w:sz w:val="14"/>
        </w:rPr>
        <w:t>8% Ayuntamiento de Murcia)</w:t>
      </w:r>
    </w:p>
    <w:p>
      <w:pPr>
        <w:pStyle w:val="BodyText"/>
        <w:spacing w:before="53"/>
        <w:rPr>
          <w:sz w:val="14"/>
        </w:rPr>
      </w:pPr>
    </w:p>
    <w:p>
      <w:pPr>
        <w:pStyle w:val="BodyText"/>
        <w:spacing w:line="247" w:lineRule="auto"/>
        <w:ind w:left="993" w:right="835"/>
        <w:jc w:val="both"/>
      </w:pPr>
      <w:r>
        <w:rPr/>
        <w:t>En la cláusula VI de la Adenda Modificativa se indica que la Sociedad elaborará durante el primer semestre</w:t>
      </w:r>
      <w:r>
        <w:rPr>
          <w:spacing w:val="-7"/>
        </w:rPr>
        <w:t> </w:t>
      </w:r>
      <w:r>
        <w:rPr/>
        <w:t>de</w:t>
      </w:r>
      <w:r>
        <w:rPr>
          <w:spacing w:val="-7"/>
        </w:rPr>
        <w:t> </w:t>
      </w:r>
      <w:r>
        <w:rPr/>
        <w:t>cada</w:t>
      </w:r>
      <w:r>
        <w:rPr>
          <w:spacing w:val="-7"/>
        </w:rPr>
        <w:t> </w:t>
      </w:r>
      <w:r>
        <w:rPr/>
        <w:t>año</w:t>
      </w:r>
      <w:r>
        <w:rPr>
          <w:spacing w:val="-6"/>
        </w:rPr>
        <w:t> </w:t>
      </w:r>
      <w:r>
        <w:rPr/>
        <w:t>una</w:t>
      </w:r>
      <w:r>
        <w:rPr>
          <w:spacing w:val="-7"/>
        </w:rPr>
        <w:t> </w:t>
      </w:r>
      <w:r>
        <w:rPr/>
        <w:t>planificación</w:t>
      </w:r>
      <w:r>
        <w:rPr>
          <w:spacing w:val="-6"/>
        </w:rPr>
        <w:t> </w:t>
      </w:r>
      <w:r>
        <w:rPr/>
        <w:t>anual</w:t>
      </w:r>
      <w:r>
        <w:rPr>
          <w:spacing w:val="-7"/>
        </w:rPr>
        <w:t> </w:t>
      </w:r>
      <w:r>
        <w:rPr/>
        <w:t>y</w:t>
      </w:r>
      <w:r>
        <w:rPr>
          <w:spacing w:val="-8"/>
        </w:rPr>
        <w:t> </w:t>
      </w:r>
      <w:r>
        <w:rPr/>
        <w:t>plurianual,</w:t>
      </w:r>
      <w:r>
        <w:rPr>
          <w:spacing w:val="-6"/>
        </w:rPr>
        <w:t> </w:t>
      </w:r>
      <w:r>
        <w:rPr/>
        <w:t>donde</w:t>
      </w:r>
      <w:r>
        <w:rPr>
          <w:spacing w:val="-7"/>
        </w:rPr>
        <w:t> </w:t>
      </w:r>
      <w:r>
        <w:rPr/>
        <w:t>se</w:t>
      </w:r>
      <w:r>
        <w:rPr>
          <w:spacing w:val="-9"/>
        </w:rPr>
        <w:t> </w:t>
      </w:r>
      <w:r>
        <w:rPr/>
        <w:t>programen</w:t>
      </w:r>
      <w:r>
        <w:rPr>
          <w:spacing w:val="-7"/>
        </w:rPr>
        <w:t> </w:t>
      </w:r>
      <w:r>
        <w:rPr/>
        <w:t>las</w:t>
      </w:r>
      <w:r>
        <w:rPr>
          <w:spacing w:val="-7"/>
        </w:rPr>
        <w:t> </w:t>
      </w:r>
      <w:r>
        <w:rPr/>
        <w:t>acciones</w:t>
      </w:r>
      <w:r>
        <w:rPr>
          <w:spacing w:val="-7"/>
        </w:rPr>
        <w:t> </w:t>
      </w:r>
      <w:r>
        <w:rPr/>
        <w:t>a</w:t>
      </w:r>
      <w:r>
        <w:rPr>
          <w:spacing w:val="-7"/>
        </w:rPr>
        <w:t> </w:t>
      </w:r>
      <w:r>
        <w:rPr/>
        <w:t>efectuar en</w:t>
      </w:r>
      <w:r>
        <w:rPr>
          <w:spacing w:val="-4"/>
        </w:rPr>
        <w:t> </w:t>
      </w:r>
      <w:r>
        <w:rPr/>
        <w:t>los</w:t>
      </w:r>
      <w:r>
        <w:rPr>
          <w:spacing w:val="-5"/>
        </w:rPr>
        <w:t> </w:t>
      </w:r>
      <w:r>
        <w:rPr/>
        <w:t>siguientes</w:t>
      </w:r>
      <w:r>
        <w:rPr>
          <w:spacing w:val="-5"/>
        </w:rPr>
        <w:t> </w:t>
      </w:r>
      <w:r>
        <w:rPr/>
        <w:t>ejercicios</w:t>
      </w:r>
      <w:r>
        <w:rPr>
          <w:spacing w:val="-4"/>
        </w:rPr>
        <w:t> </w:t>
      </w:r>
      <w:r>
        <w:rPr/>
        <w:t>y</w:t>
      </w:r>
      <w:r>
        <w:rPr>
          <w:spacing w:val="-4"/>
        </w:rPr>
        <w:t> </w:t>
      </w:r>
      <w:r>
        <w:rPr/>
        <w:t>se</w:t>
      </w:r>
      <w:r>
        <w:rPr>
          <w:spacing w:val="-5"/>
        </w:rPr>
        <w:t> </w:t>
      </w:r>
      <w:r>
        <w:rPr/>
        <w:t>concreten</w:t>
      </w:r>
      <w:r>
        <w:rPr>
          <w:spacing w:val="-4"/>
        </w:rPr>
        <w:t> </w:t>
      </w:r>
      <w:r>
        <w:rPr/>
        <w:t>las</w:t>
      </w:r>
      <w:r>
        <w:rPr>
          <w:spacing w:val="-5"/>
        </w:rPr>
        <w:t> </w:t>
      </w:r>
      <w:r>
        <w:rPr/>
        <w:t>necesidades</w:t>
      </w:r>
      <w:r>
        <w:rPr>
          <w:spacing w:val="-5"/>
        </w:rPr>
        <w:t> </w:t>
      </w:r>
      <w:r>
        <w:rPr/>
        <w:t>económicas,</w:t>
      </w:r>
      <w:r>
        <w:rPr>
          <w:spacing w:val="-4"/>
        </w:rPr>
        <w:t> </w:t>
      </w:r>
      <w:r>
        <w:rPr/>
        <w:t>que</w:t>
      </w:r>
      <w:r>
        <w:rPr>
          <w:spacing w:val="-5"/>
        </w:rPr>
        <w:t> </w:t>
      </w:r>
      <w:r>
        <w:rPr/>
        <w:t>deberá</w:t>
      </w:r>
      <w:r>
        <w:rPr>
          <w:spacing w:val="-5"/>
        </w:rPr>
        <w:t> </w:t>
      </w:r>
      <w:r>
        <w:rPr/>
        <w:t>ser</w:t>
      </w:r>
      <w:r>
        <w:rPr>
          <w:spacing w:val="-5"/>
        </w:rPr>
        <w:t> </w:t>
      </w:r>
      <w:r>
        <w:rPr/>
        <w:t>aprobada</w:t>
      </w:r>
      <w:r>
        <w:rPr>
          <w:spacing w:val="-5"/>
        </w:rPr>
        <w:t> </w:t>
      </w:r>
      <w:r>
        <w:rPr/>
        <w:t>por</w:t>
      </w:r>
      <w:r>
        <w:rPr>
          <w:spacing w:val="-4"/>
        </w:rPr>
        <w:t> </w:t>
      </w:r>
      <w:r>
        <w:rPr/>
        <w:t>el Consejo de Administración de la Sociedad, y comunicada a los socios de modo que éstos la puedan incluir en sus presupuestos para su desembolso en el primer semestre del año.</w:t>
      </w:r>
      <w:r>
        <w:rPr>
          <w:spacing w:val="40"/>
        </w:rPr>
        <w:t> </w:t>
      </w:r>
      <w:r>
        <w:rPr/>
        <w:t>Para la ejecución de estas actuaciones y hacer posible el objeto social de la sociedad a 31 de diciembre de 2025 se han formalizado contratos de préstamos participativos con los accionistas por importe total de 458.239.604,00 euros que aparecen detallados en la nota 14 de esta memoria.</w:t>
      </w:r>
    </w:p>
    <w:p>
      <w:pPr>
        <w:pStyle w:val="BodyText"/>
        <w:spacing w:before="7"/>
      </w:pPr>
    </w:p>
    <w:p>
      <w:pPr>
        <w:pStyle w:val="BodyText"/>
        <w:spacing w:line="247" w:lineRule="auto"/>
        <w:ind w:left="995" w:right="838"/>
        <w:jc w:val="both"/>
      </w:pPr>
      <w:r>
        <w:rPr/>
        <w:t>Con</w:t>
      </w:r>
      <w:r>
        <w:rPr>
          <w:spacing w:val="-12"/>
        </w:rPr>
        <w:t> </w:t>
      </w:r>
      <w:r>
        <w:rPr/>
        <w:t>fecha</w:t>
      </w:r>
      <w:r>
        <w:rPr>
          <w:spacing w:val="-13"/>
        </w:rPr>
        <w:t> </w:t>
      </w:r>
      <w:r>
        <w:rPr/>
        <w:t>13</w:t>
      </w:r>
      <w:r>
        <w:rPr>
          <w:spacing w:val="-13"/>
        </w:rPr>
        <w:t> </w:t>
      </w:r>
      <w:r>
        <w:rPr/>
        <w:t>de</w:t>
      </w:r>
      <w:r>
        <w:rPr>
          <w:spacing w:val="-13"/>
        </w:rPr>
        <w:t> </w:t>
      </w:r>
      <w:r>
        <w:rPr/>
        <w:t>julio</w:t>
      </w:r>
      <w:r>
        <w:rPr>
          <w:spacing w:val="-13"/>
        </w:rPr>
        <w:t> </w:t>
      </w:r>
      <w:r>
        <w:rPr/>
        <w:t>de</w:t>
      </w:r>
      <w:r>
        <w:rPr>
          <w:spacing w:val="-13"/>
        </w:rPr>
        <w:t> </w:t>
      </w:r>
      <w:r>
        <w:rPr/>
        <w:t>2020</w:t>
      </w:r>
      <w:r>
        <w:rPr>
          <w:spacing w:val="-12"/>
        </w:rPr>
        <w:t> </w:t>
      </w:r>
      <w:r>
        <w:rPr/>
        <w:t>se</w:t>
      </w:r>
      <w:r>
        <w:rPr>
          <w:spacing w:val="-13"/>
        </w:rPr>
        <w:t> </w:t>
      </w:r>
      <w:r>
        <w:rPr/>
        <w:t>acuerda</w:t>
      </w:r>
      <w:r>
        <w:rPr>
          <w:spacing w:val="-13"/>
        </w:rPr>
        <w:t> </w:t>
      </w:r>
      <w:r>
        <w:rPr/>
        <w:t>la</w:t>
      </w:r>
      <w:r>
        <w:rPr>
          <w:spacing w:val="-13"/>
        </w:rPr>
        <w:t> </w:t>
      </w:r>
      <w:r>
        <w:rPr/>
        <w:t>suscripción</w:t>
      </w:r>
      <w:r>
        <w:rPr>
          <w:spacing w:val="-12"/>
        </w:rPr>
        <w:t> </w:t>
      </w:r>
      <w:r>
        <w:rPr/>
        <w:t>entre</w:t>
      </w:r>
      <w:r>
        <w:rPr>
          <w:spacing w:val="-13"/>
        </w:rPr>
        <w:t> </w:t>
      </w:r>
      <w:r>
        <w:rPr/>
        <w:t>la</w:t>
      </w:r>
      <w:r>
        <w:rPr>
          <w:spacing w:val="-13"/>
        </w:rPr>
        <w:t> </w:t>
      </w:r>
      <w:r>
        <w:rPr/>
        <w:t>Sociedad</w:t>
      </w:r>
      <w:r>
        <w:rPr>
          <w:spacing w:val="-12"/>
        </w:rPr>
        <w:t> </w:t>
      </w:r>
      <w:r>
        <w:rPr/>
        <w:t>y</w:t>
      </w:r>
      <w:r>
        <w:rPr>
          <w:spacing w:val="-12"/>
        </w:rPr>
        <w:t> </w:t>
      </w:r>
      <w:r>
        <w:rPr/>
        <w:t>el</w:t>
      </w:r>
      <w:r>
        <w:rPr>
          <w:spacing w:val="-13"/>
        </w:rPr>
        <w:t> </w:t>
      </w:r>
      <w:r>
        <w:rPr/>
        <w:t>Ayuntamiento</w:t>
      </w:r>
      <w:r>
        <w:rPr>
          <w:spacing w:val="-12"/>
        </w:rPr>
        <w:t> </w:t>
      </w:r>
      <w:r>
        <w:rPr/>
        <w:t>de</w:t>
      </w:r>
      <w:r>
        <w:rPr>
          <w:spacing w:val="-13"/>
        </w:rPr>
        <w:t> </w:t>
      </w:r>
      <w:r>
        <w:rPr/>
        <w:t>Murcia de un Convenio por 5,08 millones de euros que establece los términos y condiciones que regulan las relaciones entre Murcia Alta Velocidad, S.A. y Ayuntamiento de Murcia para la realización de todos y cada uno de los estudios y proyectos de planeamiento, gestión urbanística y de urbanización. O la adaptación de los trabajos anteriormente realizados por cuenta de Murcia Alta Velocidad, S.A, así como los trabajos de Dirección Facultativa y de Coordinación de Seguridad y Salud de las obras de urbanización del ámbito PC-Mc10, incluidas aquellas que resulten complementarias al mismo, derivadas del redimensionamiento y/o redefinición de la actuación de integración ferroviaria, incluso exteriores al ámbito del Plan Especial y los proyectos, su control de calidad, Dirección Facultativa y Coordinación de Seguridad y Salud de la Estación de Autobuses y aparcamiento. Todo esto en cumplimiento de los fines de la Adenda Modificativa del Convenio de 22 de junio de 2006, y de acuerdo</w:t>
      </w:r>
      <w:r>
        <w:rPr>
          <w:spacing w:val="-8"/>
        </w:rPr>
        <w:t> </w:t>
      </w:r>
      <w:r>
        <w:rPr/>
        <w:t>con</w:t>
      </w:r>
      <w:r>
        <w:rPr>
          <w:spacing w:val="-8"/>
        </w:rPr>
        <w:t> </w:t>
      </w:r>
      <w:r>
        <w:rPr/>
        <w:t>lo</w:t>
      </w:r>
      <w:r>
        <w:rPr>
          <w:spacing w:val="-8"/>
        </w:rPr>
        <w:t> </w:t>
      </w:r>
      <w:r>
        <w:rPr/>
        <w:t>establecido</w:t>
      </w:r>
      <w:r>
        <w:rPr>
          <w:spacing w:val="-8"/>
        </w:rPr>
        <w:t> </w:t>
      </w:r>
      <w:r>
        <w:rPr/>
        <w:t>en</w:t>
      </w:r>
      <w:r>
        <w:rPr>
          <w:spacing w:val="-8"/>
        </w:rPr>
        <w:t> </w:t>
      </w:r>
      <w:r>
        <w:rPr/>
        <w:t>su</w:t>
      </w:r>
      <w:r>
        <w:rPr>
          <w:spacing w:val="-8"/>
        </w:rPr>
        <w:t> </w:t>
      </w:r>
      <w:r>
        <w:rPr/>
        <w:t>exponendo</w:t>
      </w:r>
      <w:r>
        <w:rPr>
          <w:spacing w:val="-8"/>
        </w:rPr>
        <w:t> </w:t>
      </w:r>
      <w:r>
        <w:rPr/>
        <w:t>V.</w:t>
      </w:r>
      <w:r>
        <w:rPr>
          <w:spacing w:val="-8"/>
        </w:rPr>
        <w:t> </w:t>
      </w:r>
      <w:r>
        <w:rPr/>
        <w:t>El</w:t>
      </w:r>
      <w:r>
        <w:rPr>
          <w:spacing w:val="-8"/>
        </w:rPr>
        <w:t> </w:t>
      </w:r>
      <w:r>
        <w:rPr/>
        <w:t>Convenio</w:t>
      </w:r>
      <w:r>
        <w:rPr>
          <w:spacing w:val="-8"/>
        </w:rPr>
        <w:t> </w:t>
      </w:r>
      <w:r>
        <w:rPr/>
        <w:t>finalizó</w:t>
      </w:r>
      <w:r>
        <w:rPr>
          <w:spacing w:val="-8"/>
        </w:rPr>
        <w:t> </w:t>
      </w:r>
      <w:r>
        <w:rPr/>
        <w:t>su</w:t>
      </w:r>
      <w:r>
        <w:rPr>
          <w:spacing w:val="-8"/>
        </w:rPr>
        <w:t> </w:t>
      </w:r>
      <w:r>
        <w:rPr/>
        <w:t>vigencia</w:t>
      </w:r>
      <w:r>
        <w:rPr>
          <w:spacing w:val="-10"/>
        </w:rPr>
        <w:t> </w:t>
      </w:r>
      <w:r>
        <w:rPr/>
        <w:t>con</w:t>
      </w:r>
      <w:r>
        <w:rPr>
          <w:spacing w:val="-8"/>
        </w:rPr>
        <w:t> </w:t>
      </w:r>
      <w:r>
        <w:rPr/>
        <w:t>fecha</w:t>
      </w:r>
      <w:r>
        <w:rPr>
          <w:spacing w:val="-8"/>
        </w:rPr>
        <w:t> </w:t>
      </w:r>
      <w:r>
        <w:rPr/>
        <w:t>5</w:t>
      </w:r>
      <w:r>
        <w:rPr>
          <w:spacing w:val="-8"/>
        </w:rPr>
        <w:t> </w:t>
      </w:r>
      <w:r>
        <w:rPr/>
        <w:t>de</w:t>
      </w:r>
      <w:r>
        <w:rPr>
          <w:spacing w:val="-9"/>
        </w:rPr>
        <w:t> </w:t>
      </w:r>
      <w:r>
        <w:rPr/>
        <w:t>agosto de 2024, formalizando un nuevo Convenio el 4 de octubre de 2024.</w:t>
      </w:r>
    </w:p>
    <w:p>
      <w:pPr>
        <w:pStyle w:val="BodyText"/>
        <w:spacing w:after="0" w:line="247" w:lineRule="auto"/>
        <w:jc w:val="both"/>
        <w:sectPr>
          <w:pgSz w:w="11910" w:h="16840"/>
          <w:pgMar w:header="694" w:footer="690" w:top="1920" w:bottom="880" w:left="708" w:right="425"/>
        </w:sectPr>
      </w:pPr>
    </w:p>
    <w:p>
      <w:pPr>
        <w:pStyle w:val="BodyText"/>
        <w:spacing w:line="247" w:lineRule="auto" w:before="187"/>
        <w:ind w:left="993" w:right="844"/>
        <w:jc w:val="both"/>
      </w:pPr>
      <w:r>
        <w:rPr/>
        <w:t>La planificación económica de los trabajos objeto del Convenio entre Murcia Alta Velocidad, S.A. y Ayuntamiento de Murcia es:</w:t>
      </w:r>
    </w:p>
    <w:p>
      <w:pPr>
        <w:pStyle w:val="BodyText"/>
        <w:spacing w:before="30"/>
        <w:rPr>
          <w:sz w:val="20"/>
        </w:rPr>
      </w:pPr>
    </w:p>
    <w:tbl>
      <w:tblPr>
        <w:tblW w:w="0" w:type="auto"/>
        <w:jc w:val="left"/>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96"/>
        <w:gridCol w:w="4062"/>
        <w:gridCol w:w="1164"/>
        <w:gridCol w:w="1247"/>
        <w:gridCol w:w="1135"/>
        <w:gridCol w:w="1135"/>
        <w:gridCol w:w="1344"/>
      </w:tblGrid>
      <w:tr>
        <w:trPr>
          <w:trHeight w:val="391" w:hRule="atLeast"/>
        </w:trPr>
        <w:tc>
          <w:tcPr>
            <w:tcW w:w="396" w:type="dxa"/>
          </w:tcPr>
          <w:p>
            <w:pPr>
              <w:pStyle w:val="TableParagraph"/>
              <w:rPr>
                <w:sz w:val="18"/>
              </w:rPr>
            </w:pPr>
          </w:p>
        </w:tc>
        <w:tc>
          <w:tcPr>
            <w:tcW w:w="4062" w:type="dxa"/>
          </w:tcPr>
          <w:p>
            <w:pPr>
              <w:pStyle w:val="TableParagraph"/>
              <w:rPr>
                <w:sz w:val="18"/>
              </w:rPr>
            </w:pPr>
          </w:p>
        </w:tc>
        <w:tc>
          <w:tcPr>
            <w:tcW w:w="1164" w:type="dxa"/>
          </w:tcPr>
          <w:p>
            <w:pPr>
              <w:pStyle w:val="TableParagraph"/>
              <w:spacing w:before="103"/>
              <w:ind w:left="20"/>
              <w:jc w:val="center"/>
              <w:rPr>
                <w:b/>
                <w:sz w:val="16"/>
              </w:rPr>
            </w:pPr>
            <w:r>
              <w:rPr>
                <w:b/>
                <w:spacing w:val="-4"/>
                <w:sz w:val="16"/>
              </w:rPr>
              <w:t>2020</w:t>
            </w:r>
          </w:p>
        </w:tc>
        <w:tc>
          <w:tcPr>
            <w:tcW w:w="1247" w:type="dxa"/>
          </w:tcPr>
          <w:p>
            <w:pPr>
              <w:pStyle w:val="TableParagraph"/>
              <w:spacing w:before="103"/>
              <w:ind w:left="19"/>
              <w:jc w:val="center"/>
              <w:rPr>
                <w:b/>
                <w:sz w:val="16"/>
              </w:rPr>
            </w:pPr>
            <w:r>
              <w:rPr>
                <w:b/>
                <w:spacing w:val="-4"/>
                <w:sz w:val="16"/>
              </w:rPr>
              <w:t>2021</w:t>
            </w:r>
          </w:p>
        </w:tc>
        <w:tc>
          <w:tcPr>
            <w:tcW w:w="1135" w:type="dxa"/>
          </w:tcPr>
          <w:p>
            <w:pPr>
              <w:pStyle w:val="TableParagraph"/>
              <w:spacing w:before="103"/>
              <w:ind w:left="15"/>
              <w:jc w:val="center"/>
              <w:rPr>
                <w:b/>
                <w:sz w:val="16"/>
              </w:rPr>
            </w:pPr>
            <w:r>
              <w:rPr>
                <w:b/>
                <w:spacing w:val="-4"/>
                <w:sz w:val="16"/>
              </w:rPr>
              <w:t>2022</w:t>
            </w:r>
          </w:p>
        </w:tc>
        <w:tc>
          <w:tcPr>
            <w:tcW w:w="1135" w:type="dxa"/>
          </w:tcPr>
          <w:p>
            <w:pPr>
              <w:pStyle w:val="TableParagraph"/>
              <w:spacing w:before="103"/>
              <w:ind w:left="15" w:right="1"/>
              <w:jc w:val="center"/>
              <w:rPr>
                <w:b/>
                <w:sz w:val="16"/>
              </w:rPr>
            </w:pPr>
            <w:r>
              <w:rPr>
                <w:b/>
                <w:spacing w:val="-4"/>
                <w:sz w:val="16"/>
              </w:rPr>
              <w:t>2023</w:t>
            </w:r>
          </w:p>
        </w:tc>
        <w:tc>
          <w:tcPr>
            <w:tcW w:w="1344" w:type="dxa"/>
          </w:tcPr>
          <w:p>
            <w:pPr>
              <w:pStyle w:val="TableParagraph"/>
              <w:spacing w:before="103"/>
              <w:ind w:left="387"/>
              <w:rPr>
                <w:b/>
                <w:sz w:val="16"/>
              </w:rPr>
            </w:pPr>
            <w:r>
              <w:rPr>
                <w:b/>
                <w:spacing w:val="-2"/>
                <w:sz w:val="16"/>
              </w:rPr>
              <w:t>TOTAL</w:t>
            </w:r>
          </w:p>
        </w:tc>
      </w:tr>
      <w:tr>
        <w:trPr>
          <w:trHeight w:val="1139" w:hRule="atLeast"/>
        </w:trPr>
        <w:tc>
          <w:tcPr>
            <w:tcW w:w="396" w:type="dxa"/>
          </w:tcPr>
          <w:p>
            <w:pPr>
              <w:pStyle w:val="TableParagraph"/>
              <w:rPr>
                <w:sz w:val="16"/>
              </w:rPr>
            </w:pPr>
          </w:p>
          <w:p>
            <w:pPr>
              <w:pStyle w:val="TableParagraph"/>
              <w:spacing w:before="108"/>
              <w:rPr>
                <w:sz w:val="16"/>
              </w:rPr>
            </w:pPr>
          </w:p>
          <w:p>
            <w:pPr>
              <w:pStyle w:val="TableParagraph"/>
              <w:ind w:left="19"/>
              <w:jc w:val="center"/>
              <w:rPr>
                <w:sz w:val="16"/>
              </w:rPr>
            </w:pPr>
            <w:r>
              <w:rPr>
                <w:spacing w:val="-10"/>
                <w:sz w:val="16"/>
              </w:rPr>
              <w:t>1</w:t>
            </w:r>
          </w:p>
        </w:tc>
        <w:tc>
          <w:tcPr>
            <w:tcW w:w="4062" w:type="dxa"/>
          </w:tcPr>
          <w:p>
            <w:pPr>
              <w:pStyle w:val="TableParagraph"/>
              <w:spacing w:before="109"/>
              <w:ind w:left="70" w:right="48"/>
              <w:jc w:val="both"/>
              <w:rPr>
                <w:sz w:val="16"/>
              </w:rPr>
            </w:pPr>
            <w:r>
              <w:rPr>
                <w:sz w:val="16"/>
              </w:rPr>
              <w:t>Actualización</w:t>
            </w:r>
            <w:r>
              <w:rPr>
                <w:spacing w:val="-7"/>
                <w:sz w:val="16"/>
              </w:rPr>
              <w:t> </w:t>
            </w:r>
            <w:r>
              <w:rPr>
                <w:sz w:val="16"/>
              </w:rPr>
              <w:t>y</w:t>
            </w:r>
            <w:r>
              <w:rPr>
                <w:spacing w:val="-7"/>
                <w:sz w:val="16"/>
              </w:rPr>
              <w:t> </w:t>
            </w:r>
            <w:r>
              <w:rPr>
                <w:sz w:val="16"/>
              </w:rPr>
              <w:t>adaptación</w:t>
            </w:r>
            <w:r>
              <w:rPr>
                <w:spacing w:val="-7"/>
                <w:sz w:val="16"/>
              </w:rPr>
              <w:t> </w:t>
            </w:r>
            <w:r>
              <w:rPr>
                <w:sz w:val="16"/>
              </w:rPr>
              <w:t>técnica</w:t>
            </w:r>
            <w:r>
              <w:rPr>
                <w:spacing w:val="-7"/>
                <w:sz w:val="16"/>
              </w:rPr>
              <w:t> </w:t>
            </w:r>
            <w:r>
              <w:rPr>
                <w:sz w:val="16"/>
              </w:rPr>
              <w:t>y</w:t>
            </w:r>
            <w:r>
              <w:rPr>
                <w:spacing w:val="-7"/>
                <w:sz w:val="16"/>
              </w:rPr>
              <w:t> </w:t>
            </w:r>
            <w:r>
              <w:rPr>
                <w:sz w:val="16"/>
              </w:rPr>
              <w:t>normativa</w:t>
            </w:r>
            <w:r>
              <w:rPr>
                <w:spacing w:val="-7"/>
                <w:sz w:val="16"/>
              </w:rPr>
              <w:t> </w:t>
            </w:r>
            <w:r>
              <w:rPr>
                <w:sz w:val="16"/>
              </w:rPr>
              <w:t>del</w:t>
            </w:r>
            <w:r>
              <w:rPr>
                <w:spacing w:val="-7"/>
                <w:sz w:val="16"/>
              </w:rPr>
              <w:t> </w:t>
            </w:r>
            <w:r>
              <w:rPr>
                <w:sz w:val="16"/>
              </w:rPr>
              <w:t>programa</w:t>
            </w:r>
            <w:r>
              <w:rPr>
                <w:spacing w:val="40"/>
                <w:sz w:val="16"/>
              </w:rPr>
              <w:t> </w:t>
            </w:r>
            <w:r>
              <w:rPr>
                <w:sz w:val="16"/>
              </w:rPr>
              <w:t>de actuación, proyectos de reparcelación y proyecto de</w:t>
            </w:r>
            <w:r>
              <w:rPr>
                <w:spacing w:val="40"/>
                <w:sz w:val="16"/>
              </w:rPr>
              <w:t> </w:t>
            </w:r>
            <w:r>
              <w:rPr>
                <w:sz w:val="16"/>
              </w:rPr>
              <w:t>urbanización de</w:t>
            </w:r>
            <w:r>
              <w:rPr>
                <w:spacing w:val="-2"/>
                <w:sz w:val="16"/>
              </w:rPr>
              <w:t> </w:t>
            </w:r>
            <w:r>
              <w:rPr>
                <w:sz w:val="16"/>
              </w:rPr>
              <w:t>la unidad</w:t>
            </w:r>
            <w:r>
              <w:rPr>
                <w:spacing w:val="-1"/>
                <w:sz w:val="16"/>
              </w:rPr>
              <w:t> </w:t>
            </w:r>
            <w:r>
              <w:rPr>
                <w:sz w:val="16"/>
              </w:rPr>
              <w:t>de</w:t>
            </w:r>
            <w:r>
              <w:rPr>
                <w:spacing w:val="-2"/>
                <w:sz w:val="16"/>
              </w:rPr>
              <w:t> </w:t>
            </w:r>
            <w:r>
              <w:rPr>
                <w:sz w:val="16"/>
              </w:rPr>
              <w:t>actuación</w:t>
            </w:r>
            <w:r>
              <w:rPr>
                <w:spacing w:val="-1"/>
                <w:sz w:val="16"/>
              </w:rPr>
              <w:t> </w:t>
            </w:r>
            <w:r>
              <w:rPr>
                <w:sz w:val="16"/>
              </w:rPr>
              <w:t>única</w:t>
            </w:r>
            <w:r>
              <w:rPr>
                <w:spacing w:val="-2"/>
                <w:sz w:val="16"/>
              </w:rPr>
              <w:t> </w:t>
            </w:r>
            <w:r>
              <w:rPr>
                <w:sz w:val="16"/>
              </w:rPr>
              <w:t>del</w:t>
            </w:r>
            <w:r>
              <w:rPr>
                <w:spacing w:val="-2"/>
                <w:sz w:val="16"/>
              </w:rPr>
              <w:t> </w:t>
            </w:r>
            <w:r>
              <w:rPr>
                <w:sz w:val="16"/>
              </w:rPr>
              <w:t>ámbito PC-Mc10, que en su día fueron redactados por cuenta de la</w:t>
            </w:r>
            <w:r>
              <w:rPr>
                <w:spacing w:val="40"/>
                <w:sz w:val="16"/>
              </w:rPr>
              <w:t> </w:t>
            </w:r>
            <w:r>
              <w:rPr>
                <w:spacing w:val="-2"/>
                <w:sz w:val="16"/>
              </w:rPr>
              <w:t>Sociedad</w:t>
            </w:r>
          </w:p>
        </w:tc>
        <w:tc>
          <w:tcPr>
            <w:tcW w:w="1164" w:type="dxa"/>
          </w:tcPr>
          <w:p>
            <w:pPr>
              <w:pStyle w:val="TableParagraph"/>
              <w:rPr>
                <w:sz w:val="16"/>
              </w:rPr>
            </w:pPr>
          </w:p>
          <w:p>
            <w:pPr>
              <w:pStyle w:val="TableParagraph"/>
              <w:spacing w:before="108"/>
              <w:rPr>
                <w:sz w:val="16"/>
              </w:rPr>
            </w:pPr>
          </w:p>
          <w:p>
            <w:pPr>
              <w:pStyle w:val="TableParagraph"/>
              <w:ind w:right="48"/>
              <w:jc w:val="right"/>
              <w:rPr>
                <w:sz w:val="16"/>
              </w:rPr>
            </w:pPr>
            <w:r>
              <w:rPr>
                <w:spacing w:val="-2"/>
                <w:sz w:val="16"/>
              </w:rPr>
              <w:t>645.159,90</w:t>
            </w:r>
          </w:p>
        </w:tc>
        <w:tc>
          <w:tcPr>
            <w:tcW w:w="1247" w:type="dxa"/>
          </w:tcPr>
          <w:p>
            <w:pPr>
              <w:pStyle w:val="TableParagraph"/>
              <w:rPr>
                <w:sz w:val="16"/>
              </w:rPr>
            </w:pPr>
          </w:p>
          <w:p>
            <w:pPr>
              <w:pStyle w:val="TableParagraph"/>
              <w:spacing w:before="108"/>
              <w:rPr>
                <w:sz w:val="16"/>
              </w:rPr>
            </w:pPr>
          </w:p>
          <w:p>
            <w:pPr>
              <w:pStyle w:val="TableParagraph"/>
              <w:ind w:right="48"/>
              <w:jc w:val="right"/>
              <w:rPr>
                <w:sz w:val="16"/>
              </w:rPr>
            </w:pPr>
            <w:r>
              <w:rPr>
                <w:spacing w:val="-2"/>
                <w:sz w:val="16"/>
              </w:rPr>
              <w:t>26.521,69</w:t>
            </w:r>
          </w:p>
        </w:tc>
        <w:tc>
          <w:tcPr>
            <w:tcW w:w="1135" w:type="dxa"/>
          </w:tcPr>
          <w:p>
            <w:pPr>
              <w:pStyle w:val="TableParagraph"/>
              <w:rPr>
                <w:sz w:val="16"/>
              </w:rPr>
            </w:pPr>
          </w:p>
          <w:p>
            <w:pPr>
              <w:pStyle w:val="TableParagraph"/>
              <w:spacing w:before="108"/>
              <w:rPr>
                <w:sz w:val="16"/>
              </w:rPr>
            </w:pPr>
          </w:p>
          <w:p>
            <w:pPr>
              <w:pStyle w:val="TableParagraph"/>
              <w:ind w:right="51"/>
              <w:jc w:val="right"/>
              <w:rPr>
                <w:sz w:val="16"/>
              </w:rPr>
            </w:pPr>
            <w:r>
              <w:rPr>
                <w:spacing w:val="-2"/>
                <w:sz w:val="16"/>
              </w:rPr>
              <w:t>-</w:t>
            </w:r>
            <w:r>
              <w:rPr>
                <w:spacing w:val="-10"/>
                <w:sz w:val="16"/>
              </w:rPr>
              <w:t>-</w:t>
            </w:r>
          </w:p>
        </w:tc>
        <w:tc>
          <w:tcPr>
            <w:tcW w:w="1135" w:type="dxa"/>
          </w:tcPr>
          <w:p>
            <w:pPr>
              <w:pStyle w:val="TableParagraph"/>
              <w:rPr>
                <w:sz w:val="16"/>
              </w:rPr>
            </w:pPr>
          </w:p>
          <w:p>
            <w:pPr>
              <w:pStyle w:val="TableParagraph"/>
              <w:spacing w:before="108"/>
              <w:rPr>
                <w:sz w:val="16"/>
              </w:rPr>
            </w:pPr>
          </w:p>
          <w:p>
            <w:pPr>
              <w:pStyle w:val="TableParagraph"/>
              <w:ind w:right="52"/>
              <w:jc w:val="right"/>
              <w:rPr>
                <w:sz w:val="16"/>
              </w:rPr>
            </w:pPr>
            <w:r>
              <w:rPr>
                <w:spacing w:val="-2"/>
                <w:sz w:val="16"/>
              </w:rPr>
              <w:t>-</w:t>
            </w:r>
            <w:r>
              <w:rPr>
                <w:spacing w:val="-10"/>
                <w:sz w:val="16"/>
              </w:rPr>
              <w:t>-</w:t>
            </w:r>
          </w:p>
        </w:tc>
        <w:tc>
          <w:tcPr>
            <w:tcW w:w="1344" w:type="dxa"/>
          </w:tcPr>
          <w:p>
            <w:pPr>
              <w:pStyle w:val="TableParagraph"/>
              <w:rPr>
                <w:sz w:val="16"/>
              </w:rPr>
            </w:pPr>
          </w:p>
          <w:p>
            <w:pPr>
              <w:pStyle w:val="TableParagraph"/>
              <w:spacing w:before="108"/>
              <w:rPr>
                <w:sz w:val="16"/>
              </w:rPr>
            </w:pPr>
          </w:p>
          <w:p>
            <w:pPr>
              <w:pStyle w:val="TableParagraph"/>
              <w:ind w:right="52"/>
              <w:jc w:val="right"/>
              <w:rPr>
                <w:sz w:val="16"/>
              </w:rPr>
            </w:pPr>
            <w:r>
              <w:rPr>
                <w:spacing w:val="-2"/>
                <w:sz w:val="16"/>
              </w:rPr>
              <w:t>671.681,59</w:t>
            </w:r>
          </w:p>
        </w:tc>
      </w:tr>
      <w:tr>
        <w:trPr>
          <w:trHeight w:val="1979" w:hRule="atLeast"/>
        </w:trPr>
        <w:tc>
          <w:tcPr>
            <w:tcW w:w="396" w:type="dxa"/>
          </w:tcPr>
          <w:p>
            <w:pPr>
              <w:pStyle w:val="TableParagraph"/>
              <w:rPr>
                <w:sz w:val="16"/>
              </w:rPr>
            </w:pPr>
          </w:p>
          <w:p>
            <w:pPr>
              <w:pStyle w:val="TableParagraph"/>
              <w:rPr>
                <w:sz w:val="16"/>
              </w:rPr>
            </w:pPr>
          </w:p>
          <w:p>
            <w:pPr>
              <w:pStyle w:val="TableParagraph"/>
              <w:rPr>
                <w:sz w:val="16"/>
              </w:rPr>
            </w:pPr>
          </w:p>
          <w:p>
            <w:pPr>
              <w:pStyle w:val="TableParagraph"/>
              <w:spacing w:before="161"/>
              <w:rPr>
                <w:sz w:val="16"/>
              </w:rPr>
            </w:pPr>
          </w:p>
          <w:p>
            <w:pPr>
              <w:pStyle w:val="TableParagraph"/>
              <w:spacing w:before="1"/>
              <w:ind w:left="19"/>
              <w:jc w:val="center"/>
              <w:rPr>
                <w:sz w:val="16"/>
              </w:rPr>
            </w:pPr>
            <w:r>
              <w:rPr>
                <w:spacing w:val="-10"/>
                <w:sz w:val="16"/>
              </w:rPr>
              <w:t>2</w:t>
            </w:r>
          </w:p>
        </w:tc>
        <w:tc>
          <w:tcPr>
            <w:tcW w:w="4062" w:type="dxa"/>
          </w:tcPr>
          <w:p>
            <w:pPr>
              <w:pStyle w:val="TableParagraph"/>
              <w:spacing w:before="70"/>
              <w:ind w:left="70" w:right="49"/>
              <w:jc w:val="both"/>
              <w:rPr>
                <w:sz w:val="16"/>
              </w:rPr>
            </w:pPr>
            <w:r>
              <w:rPr>
                <w:sz w:val="16"/>
              </w:rPr>
              <w:t>Redacción de los proyectos de obras de urbanización de los</w:t>
            </w:r>
            <w:r>
              <w:rPr>
                <w:spacing w:val="40"/>
                <w:sz w:val="16"/>
              </w:rPr>
              <w:t> </w:t>
            </w:r>
            <w:r>
              <w:rPr>
                <w:sz w:val="16"/>
              </w:rPr>
              <w:t>espacios ferroviarios, actualmente demaniales, que serán</w:t>
            </w:r>
            <w:r>
              <w:rPr>
                <w:spacing w:val="40"/>
                <w:sz w:val="16"/>
              </w:rPr>
              <w:t> </w:t>
            </w:r>
            <w:r>
              <w:rPr>
                <w:sz w:val="16"/>
              </w:rPr>
              <w:t>desafectados con ocasión de la actuación de integración</w:t>
            </w:r>
            <w:r>
              <w:rPr>
                <w:spacing w:val="40"/>
                <w:sz w:val="16"/>
              </w:rPr>
              <w:t> </w:t>
            </w:r>
            <w:r>
              <w:rPr>
                <w:sz w:val="16"/>
              </w:rPr>
              <w:t>ferroviaria en el ámbito urbano de la Ciudad, a través del</w:t>
            </w:r>
            <w:r>
              <w:rPr>
                <w:spacing w:val="40"/>
                <w:sz w:val="16"/>
              </w:rPr>
              <w:t> </w:t>
            </w:r>
            <w:r>
              <w:rPr>
                <w:sz w:val="16"/>
              </w:rPr>
              <w:t>oportuno soterramiento de las vías. Asimismo, los de los</w:t>
            </w:r>
            <w:r>
              <w:rPr>
                <w:spacing w:val="40"/>
                <w:sz w:val="16"/>
              </w:rPr>
              <w:t> </w:t>
            </w:r>
            <w:r>
              <w:rPr>
                <w:sz w:val="16"/>
              </w:rPr>
              <w:t>espacios</w:t>
            </w:r>
            <w:r>
              <w:rPr>
                <w:spacing w:val="-6"/>
                <w:sz w:val="16"/>
              </w:rPr>
              <w:t> </w:t>
            </w:r>
            <w:r>
              <w:rPr>
                <w:sz w:val="16"/>
              </w:rPr>
              <w:t>que</w:t>
            </w:r>
            <w:r>
              <w:rPr>
                <w:spacing w:val="-6"/>
                <w:sz w:val="16"/>
              </w:rPr>
              <w:t> </w:t>
            </w:r>
            <w:r>
              <w:rPr>
                <w:sz w:val="16"/>
              </w:rPr>
              <w:t>se</w:t>
            </w:r>
            <w:r>
              <w:rPr>
                <w:spacing w:val="-6"/>
                <w:sz w:val="16"/>
              </w:rPr>
              <w:t> </w:t>
            </w:r>
            <w:r>
              <w:rPr>
                <w:sz w:val="16"/>
              </w:rPr>
              <w:t>localizan</w:t>
            </w:r>
            <w:r>
              <w:rPr>
                <w:spacing w:val="-6"/>
                <w:sz w:val="16"/>
              </w:rPr>
              <w:t> </w:t>
            </w:r>
            <w:r>
              <w:rPr>
                <w:sz w:val="16"/>
              </w:rPr>
              <w:t>al</w:t>
            </w:r>
            <w:r>
              <w:rPr>
                <w:spacing w:val="-5"/>
                <w:sz w:val="16"/>
              </w:rPr>
              <w:t> </w:t>
            </w:r>
            <w:r>
              <w:rPr>
                <w:sz w:val="16"/>
              </w:rPr>
              <w:t>este</w:t>
            </w:r>
            <w:r>
              <w:rPr>
                <w:spacing w:val="-6"/>
                <w:sz w:val="16"/>
              </w:rPr>
              <w:t> </w:t>
            </w:r>
            <w:r>
              <w:rPr>
                <w:sz w:val="16"/>
              </w:rPr>
              <w:t>y</w:t>
            </w:r>
            <w:r>
              <w:rPr>
                <w:spacing w:val="-6"/>
                <w:sz w:val="16"/>
              </w:rPr>
              <w:t> </w:t>
            </w:r>
            <w:r>
              <w:rPr>
                <w:sz w:val="16"/>
              </w:rPr>
              <w:t>oeste</w:t>
            </w:r>
            <w:r>
              <w:rPr>
                <w:spacing w:val="-6"/>
                <w:sz w:val="16"/>
              </w:rPr>
              <w:t> </w:t>
            </w:r>
            <w:r>
              <w:rPr>
                <w:sz w:val="16"/>
              </w:rPr>
              <w:t>del</w:t>
            </w:r>
            <w:r>
              <w:rPr>
                <w:spacing w:val="-6"/>
                <w:sz w:val="16"/>
              </w:rPr>
              <w:t> </w:t>
            </w:r>
            <w:r>
              <w:rPr>
                <w:sz w:val="16"/>
              </w:rPr>
              <w:t>ámbito</w:t>
            </w:r>
            <w:r>
              <w:rPr>
                <w:spacing w:val="-6"/>
                <w:sz w:val="16"/>
              </w:rPr>
              <w:t> </w:t>
            </w:r>
            <w:r>
              <w:rPr>
                <w:sz w:val="16"/>
              </w:rPr>
              <w:t>PC</w:t>
            </w:r>
            <w:r>
              <w:rPr>
                <w:spacing w:val="-5"/>
                <w:sz w:val="16"/>
              </w:rPr>
              <w:t> </w:t>
            </w:r>
            <w:r>
              <w:rPr>
                <w:sz w:val="16"/>
              </w:rPr>
              <w:t>Mc10,</w:t>
            </w:r>
            <w:r>
              <w:rPr>
                <w:spacing w:val="40"/>
                <w:sz w:val="16"/>
              </w:rPr>
              <w:t> </w:t>
            </w:r>
            <w:r>
              <w:rPr>
                <w:sz w:val="16"/>
              </w:rPr>
              <w:t>exteriores a la unidad de actuación integrada y viarios</w:t>
            </w:r>
            <w:r>
              <w:rPr>
                <w:spacing w:val="40"/>
                <w:sz w:val="16"/>
              </w:rPr>
              <w:t> </w:t>
            </w:r>
            <w:r>
              <w:rPr>
                <w:sz w:val="16"/>
              </w:rPr>
              <w:t>laterales. Previamente se realizará un proceso participativo</w:t>
            </w:r>
            <w:r>
              <w:rPr>
                <w:spacing w:val="40"/>
                <w:sz w:val="16"/>
              </w:rPr>
              <w:t> </w:t>
            </w:r>
            <w:r>
              <w:rPr>
                <w:sz w:val="16"/>
              </w:rPr>
              <w:t>con</w:t>
            </w:r>
            <w:r>
              <w:rPr>
                <w:spacing w:val="-9"/>
                <w:sz w:val="16"/>
              </w:rPr>
              <w:t> </w:t>
            </w:r>
            <w:r>
              <w:rPr>
                <w:sz w:val="16"/>
              </w:rPr>
              <w:t>el</w:t>
            </w:r>
            <w:r>
              <w:rPr>
                <w:spacing w:val="-10"/>
                <w:sz w:val="16"/>
              </w:rPr>
              <w:t> </w:t>
            </w:r>
            <w:r>
              <w:rPr>
                <w:sz w:val="16"/>
              </w:rPr>
              <w:t>fin</w:t>
            </w:r>
            <w:r>
              <w:rPr>
                <w:spacing w:val="-10"/>
                <w:sz w:val="16"/>
              </w:rPr>
              <w:t> </w:t>
            </w:r>
            <w:r>
              <w:rPr>
                <w:sz w:val="16"/>
              </w:rPr>
              <w:t>de</w:t>
            </w:r>
            <w:r>
              <w:rPr>
                <w:spacing w:val="-9"/>
                <w:sz w:val="16"/>
              </w:rPr>
              <w:t> </w:t>
            </w:r>
            <w:r>
              <w:rPr>
                <w:sz w:val="16"/>
              </w:rPr>
              <w:t>recoger</w:t>
            </w:r>
            <w:r>
              <w:rPr>
                <w:spacing w:val="-10"/>
                <w:sz w:val="16"/>
              </w:rPr>
              <w:t> </w:t>
            </w:r>
            <w:r>
              <w:rPr>
                <w:sz w:val="16"/>
              </w:rPr>
              <w:t>las</w:t>
            </w:r>
            <w:r>
              <w:rPr>
                <w:spacing w:val="-9"/>
                <w:sz w:val="16"/>
              </w:rPr>
              <w:t> </w:t>
            </w:r>
            <w:r>
              <w:rPr>
                <w:sz w:val="16"/>
              </w:rPr>
              <w:t>propuestas</w:t>
            </w:r>
            <w:r>
              <w:rPr>
                <w:spacing w:val="-10"/>
                <w:sz w:val="16"/>
              </w:rPr>
              <w:t> </w:t>
            </w:r>
            <w:r>
              <w:rPr>
                <w:sz w:val="16"/>
              </w:rPr>
              <w:t>para</w:t>
            </w:r>
            <w:r>
              <w:rPr>
                <w:spacing w:val="-10"/>
                <w:sz w:val="16"/>
              </w:rPr>
              <w:t> </w:t>
            </w:r>
            <w:r>
              <w:rPr>
                <w:sz w:val="16"/>
              </w:rPr>
              <w:t>incluir</w:t>
            </w:r>
            <w:r>
              <w:rPr>
                <w:spacing w:val="-9"/>
                <w:sz w:val="16"/>
              </w:rPr>
              <w:t> </w:t>
            </w:r>
            <w:r>
              <w:rPr>
                <w:sz w:val="16"/>
              </w:rPr>
              <w:t>en</w:t>
            </w:r>
            <w:r>
              <w:rPr>
                <w:spacing w:val="-9"/>
                <w:sz w:val="16"/>
              </w:rPr>
              <w:t> </w:t>
            </w:r>
            <w:r>
              <w:rPr>
                <w:sz w:val="16"/>
              </w:rPr>
              <w:t>el</w:t>
            </w:r>
            <w:r>
              <w:rPr>
                <w:spacing w:val="-9"/>
                <w:sz w:val="16"/>
              </w:rPr>
              <w:t> </w:t>
            </w:r>
            <w:r>
              <w:rPr>
                <w:sz w:val="16"/>
              </w:rPr>
              <w:t>Proyecto</w:t>
            </w:r>
            <w:r>
              <w:rPr>
                <w:spacing w:val="40"/>
                <w:sz w:val="16"/>
              </w:rPr>
              <w:t> </w:t>
            </w:r>
            <w:r>
              <w:rPr>
                <w:sz w:val="16"/>
              </w:rPr>
              <w:t>de</w:t>
            </w:r>
            <w:r>
              <w:rPr>
                <w:spacing w:val="-3"/>
                <w:sz w:val="16"/>
              </w:rPr>
              <w:t> </w:t>
            </w:r>
            <w:r>
              <w:rPr>
                <w:sz w:val="16"/>
              </w:rPr>
              <w:t>Urbanización</w:t>
            </w:r>
          </w:p>
        </w:tc>
        <w:tc>
          <w:tcPr>
            <w:tcW w:w="1164" w:type="dxa"/>
          </w:tcPr>
          <w:p>
            <w:pPr>
              <w:pStyle w:val="TableParagraph"/>
              <w:rPr>
                <w:sz w:val="16"/>
              </w:rPr>
            </w:pPr>
          </w:p>
          <w:p>
            <w:pPr>
              <w:pStyle w:val="TableParagraph"/>
              <w:rPr>
                <w:sz w:val="16"/>
              </w:rPr>
            </w:pPr>
          </w:p>
          <w:p>
            <w:pPr>
              <w:pStyle w:val="TableParagraph"/>
              <w:rPr>
                <w:sz w:val="16"/>
              </w:rPr>
            </w:pPr>
          </w:p>
          <w:p>
            <w:pPr>
              <w:pStyle w:val="TableParagraph"/>
              <w:spacing w:before="161"/>
              <w:rPr>
                <w:sz w:val="16"/>
              </w:rPr>
            </w:pPr>
          </w:p>
          <w:p>
            <w:pPr>
              <w:pStyle w:val="TableParagraph"/>
              <w:spacing w:before="1"/>
              <w:ind w:right="48"/>
              <w:jc w:val="right"/>
              <w:rPr>
                <w:sz w:val="16"/>
              </w:rPr>
            </w:pPr>
            <w:r>
              <w:rPr>
                <w:spacing w:val="-2"/>
                <w:sz w:val="16"/>
              </w:rPr>
              <w:t>311.445,08</w:t>
            </w:r>
          </w:p>
        </w:tc>
        <w:tc>
          <w:tcPr>
            <w:tcW w:w="1247" w:type="dxa"/>
          </w:tcPr>
          <w:p>
            <w:pPr>
              <w:pStyle w:val="TableParagraph"/>
              <w:rPr>
                <w:sz w:val="16"/>
              </w:rPr>
            </w:pPr>
          </w:p>
          <w:p>
            <w:pPr>
              <w:pStyle w:val="TableParagraph"/>
              <w:rPr>
                <w:sz w:val="16"/>
              </w:rPr>
            </w:pPr>
          </w:p>
          <w:p>
            <w:pPr>
              <w:pStyle w:val="TableParagraph"/>
              <w:rPr>
                <w:sz w:val="16"/>
              </w:rPr>
            </w:pPr>
          </w:p>
          <w:p>
            <w:pPr>
              <w:pStyle w:val="TableParagraph"/>
              <w:spacing w:before="161"/>
              <w:rPr>
                <w:sz w:val="16"/>
              </w:rPr>
            </w:pPr>
          </w:p>
          <w:p>
            <w:pPr>
              <w:pStyle w:val="TableParagraph"/>
              <w:spacing w:before="1"/>
              <w:ind w:right="48"/>
              <w:jc w:val="right"/>
              <w:rPr>
                <w:sz w:val="16"/>
              </w:rPr>
            </w:pPr>
            <w:r>
              <w:rPr>
                <w:spacing w:val="-2"/>
                <w:sz w:val="16"/>
              </w:rPr>
              <w:t>104.136,96</w:t>
            </w:r>
          </w:p>
        </w:tc>
        <w:tc>
          <w:tcPr>
            <w:tcW w:w="1135" w:type="dxa"/>
          </w:tcPr>
          <w:p>
            <w:pPr>
              <w:pStyle w:val="TableParagraph"/>
              <w:rPr>
                <w:sz w:val="16"/>
              </w:rPr>
            </w:pPr>
          </w:p>
          <w:p>
            <w:pPr>
              <w:pStyle w:val="TableParagraph"/>
              <w:rPr>
                <w:sz w:val="16"/>
              </w:rPr>
            </w:pPr>
          </w:p>
          <w:p>
            <w:pPr>
              <w:pStyle w:val="TableParagraph"/>
              <w:rPr>
                <w:sz w:val="16"/>
              </w:rPr>
            </w:pPr>
          </w:p>
          <w:p>
            <w:pPr>
              <w:pStyle w:val="TableParagraph"/>
              <w:spacing w:before="161"/>
              <w:rPr>
                <w:sz w:val="16"/>
              </w:rPr>
            </w:pPr>
          </w:p>
          <w:p>
            <w:pPr>
              <w:pStyle w:val="TableParagraph"/>
              <w:spacing w:before="1"/>
              <w:ind w:right="50"/>
              <w:jc w:val="right"/>
              <w:rPr>
                <w:sz w:val="16"/>
              </w:rPr>
            </w:pPr>
            <w:r>
              <w:rPr>
                <w:spacing w:val="-2"/>
                <w:sz w:val="16"/>
              </w:rPr>
              <w:t>95.080,86</w:t>
            </w:r>
          </w:p>
        </w:tc>
        <w:tc>
          <w:tcPr>
            <w:tcW w:w="1135" w:type="dxa"/>
          </w:tcPr>
          <w:p>
            <w:pPr>
              <w:pStyle w:val="TableParagraph"/>
              <w:rPr>
                <w:sz w:val="16"/>
              </w:rPr>
            </w:pPr>
          </w:p>
          <w:p>
            <w:pPr>
              <w:pStyle w:val="TableParagraph"/>
              <w:rPr>
                <w:sz w:val="16"/>
              </w:rPr>
            </w:pPr>
          </w:p>
          <w:p>
            <w:pPr>
              <w:pStyle w:val="TableParagraph"/>
              <w:rPr>
                <w:sz w:val="16"/>
              </w:rPr>
            </w:pPr>
          </w:p>
          <w:p>
            <w:pPr>
              <w:pStyle w:val="TableParagraph"/>
              <w:spacing w:before="161"/>
              <w:rPr>
                <w:sz w:val="16"/>
              </w:rPr>
            </w:pPr>
          </w:p>
          <w:p>
            <w:pPr>
              <w:pStyle w:val="TableParagraph"/>
              <w:spacing w:before="1"/>
              <w:ind w:right="51"/>
              <w:jc w:val="right"/>
              <w:rPr>
                <w:sz w:val="16"/>
              </w:rPr>
            </w:pPr>
            <w:r>
              <w:rPr>
                <w:spacing w:val="-2"/>
                <w:sz w:val="16"/>
              </w:rPr>
              <w:t>36.489,73</w:t>
            </w:r>
          </w:p>
        </w:tc>
        <w:tc>
          <w:tcPr>
            <w:tcW w:w="1344" w:type="dxa"/>
          </w:tcPr>
          <w:p>
            <w:pPr>
              <w:pStyle w:val="TableParagraph"/>
              <w:rPr>
                <w:sz w:val="16"/>
              </w:rPr>
            </w:pPr>
          </w:p>
          <w:p>
            <w:pPr>
              <w:pStyle w:val="TableParagraph"/>
              <w:rPr>
                <w:sz w:val="16"/>
              </w:rPr>
            </w:pPr>
          </w:p>
          <w:p>
            <w:pPr>
              <w:pStyle w:val="TableParagraph"/>
              <w:rPr>
                <w:sz w:val="16"/>
              </w:rPr>
            </w:pPr>
          </w:p>
          <w:p>
            <w:pPr>
              <w:pStyle w:val="TableParagraph"/>
              <w:spacing w:before="161"/>
              <w:rPr>
                <w:sz w:val="16"/>
              </w:rPr>
            </w:pPr>
          </w:p>
          <w:p>
            <w:pPr>
              <w:pStyle w:val="TableParagraph"/>
              <w:spacing w:before="1"/>
              <w:ind w:right="52"/>
              <w:jc w:val="right"/>
              <w:rPr>
                <w:sz w:val="16"/>
              </w:rPr>
            </w:pPr>
            <w:r>
              <w:rPr>
                <w:spacing w:val="-2"/>
                <w:sz w:val="16"/>
              </w:rPr>
              <w:t>547.152,63</w:t>
            </w:r>
          </w:p>
        </w:tc>
      </w:tr>
      <w:tr>
        <w:trPr>
          <w:trHeight w:val="1139" w:hRule="atLeast"/>
        </w:trPr>
        <w:tc>
          <w:tcPr>
            <w:tcW w:w="396" w:type="dxa"/>
          </w:tcPr>
          <w:p>
            <w:pPr>
              <w:pStyle w:val="TableParagraph"/>
              <w:rPr>
                <w:sz w:val="16"/>
              </w:rPr>
            </w:pPr>
          </w:p>
          <w:p>
            <w:pPr>
              <w:pStyle w:val="TableParagraph"/>
              <w:spacing w:before="110"/>
              <w:rPr>
                <w:sz w:val="16"/>
              </w:rPr>
            </w:pPr>
          </w:p>
          <w:p>
            <w:pPr>
              <w:pStyle w:val="TableParagraph"/>
              <w:ind w:left="19"/>
              <w:jc w:val="center"/>
              <w:rPr>
                <w:sz w:val="16"/>
              </w:rPr>
            </w:pPr>
            <w:r>
              <w:rPr>
                <w:spacing w:val="-10"/>
                <w:sz w:val="16"/>
              </w:rPr>
              <w:t>3</w:t>
            </w:r>
          </w:p>
        </w:tc>
        <w:tc>
          <w:tcPr>
            <w:tcW w:w="4062" w:type="dxa"/>
          </w:tcPr>
          <w:p>
            <w:pPr>
              <w:pStyle w:val="TableParagraph"/>
              <w:spacing w:before="18"/>
              <w:ind w:left="70" w:right="50"/>
              <w:jc w:val="both"/>
              <w:rPr>
                <w:sz w:val="16"/>
              </w:rPr>
            </w:pPr>
            <w:r>
              <w:rPr>
                <w:sz w:val="16"/>
              </w:rPr>
              <w:t>Estudios</w:t>
            </w:r>
            <w:r>
              <w:rPr>
                <w:spacing w:val="-8"/>
                <w:sz w:val="16"/>
              </w:rPr>
              <w:t> </w:t>
            </w:r>
            <w:r>
              <w:rPr>
                <w:sz w:val="16"/>
              </w:rPr>
              <w:t>de</w:t>
            </w:r>
            <w:r>
              <w:rPr>
                <w:spacing w:val="-9"/>
                <w:sz w:val="16"/>
              </w:rPr>
              <w:t> </w:t>
            </w:r>
            <w:r>
              <w:rPr>
                <w:sz w:val="16"/>
              </w:rPr>
              <w:t>tráfico</w:t>
            </w:r>
            <w:r>
              <w:rPr>
                <w:spacing w:val="-8"/>
                <w:sz w:val="16"/>
              </w:rPr>
              <w:t> </w:t>
            </w:r>
            <w:r>
              <w:rPr>
                <w:sz w:val="16"/>
              </w:rPr>
              <w:t>y</w:t>
            </w:r>
            <w:r>
              <w:rPr>
                <w:spacing w:val="-8"/>
                <w:sz w:val="16"/>
              </w:rPr>
              <w:t> </w:t>
            </w:r>
            <w:r>
              <w:rPr>
                <w:sz w:val="16"/>
              </w:rPr>
              <w:t>de</w:t>
            </w:r>
            <w:r>
              <w:rPr>
                <w:spacing w:val="-7"/>
                <w:sz w:val="16"/>
              </w:rPr>
              <w:t> </w:t>
            </w:r>
            <w:r>
              <w:rPr>
                <w:sz w:val="16"/>
              </w:rPr>
              <w:t>actuaciones</w:t>
            </w:r>
            <w:r>
              <w:rPr>
                <w:spacing w:val="-8"/>
                <w:sz w:val="16"/>
              </w:rPr>
              <w:t> </w:t>
            </w:r>
            <w:r>
              <w:rPr>
                <w:sz w:val="16"/>
              </w:rPr>
              <w:t>de</w:t>
            </w:r>
            <w:r>
              <w:rPr>
                <w:spacing w:val="-9"/>
                <w:sz w:val="16"/>
              </w:rPr>
              <w:t> </w:t>
            </w:r>
            <w:r>
              <w:rPr>
                <w:sz w:val="16"/>
              </w:rPr>
              <w:t>desvíos</w:t>
            </w:r>
            <w:r>
              <w:rPr>
                <w:spacing w:val="-8"/>
                <w:sz w:val="16"/>
              </w:rPr>
              <w:t> </w:t>
            </w:r>
            <w:r>
              <w:rPr>
                <w:sz w:val="16"/>
              </w:rPr>
              <w:t>de</w:t>
            </w:r>
            <w:r>
              <w:rPr>
                <w:spacing w:val="-9"/>
                <w:sz w:val="16"/>
              </w:rPr>
              <w:t> </w:t>
            </w:r>
            <w:r>
              <w:rPr>
                <w:sz w:val="16"/>
              </w:rPr>
              <w:t>circulación</w:t>
            </w:r>
            <w:r>
              <w:rPr>
                <w:spacing w:val="40"/>
                <w:sz w:val="16"/>
              </w:rPr>
              <w:t> </w:t>
            </w:r>
            <w:r>
              <w:rPr>
                <w:sz w:val="16"/>
              </w:rPr>
              <w:t>provisionales</w:t>
            </w:r>
            <w:r>
              <w:rPr>
                <w:spacing w:val="-10"/>
                <w:sz w:val="16"/>
              </w:rPr>
              <w:t> </w:t>
            </w:r>
            <w:r>
              <w:rPr>
                <w:sz w:val="16"/>
              </w:rPr>
              <w:t>que</w:t>
            </w:r>
            <w:r>
              <w:rPr>
                <w:spacing w:val="-10"/>
                <w:sz w:val="16"/>
              </w:rPr>
              <w:t> </w:t>
            </w:r>
            <w:r>
              <w:rPr>
                <w:sz w:val="16"/>
              </w:rPr>
              <w:t>resulten</w:t>
            </w:r>
            <w:r>
              <w:rPr>
                <w:spacing w:val="-10"/>
                <w:sz w:val="16"/>
              </w:rPr>
              <w:t> </w:t>
            </w:r>
            <w:r>
              <w:rPr>
                <w:sz w:val="16"/>
              </w:rPr>
              <w:t>precisos</w:t>
            </w:r>
            <w:r>
              <w:rPr>
                <w:spacing w:val="-10"/>
                <w:sz w:val="16"/>
              </w:rPr>
              <w:t> </w:t>
            </w:r>
            <w:r>
              <w:rPr>
                <w:sz w:val="16"/>
              </w:rPr>
              <w:t>durante</w:t>
            </w:r>
            <w:r>
              <w:rPr>
                <w:spacing w:val="-10"/>
                <w:sz w:val="16"/>
              </w:rPr>
              <w:t> </w:t>
            </w:r>
            <w:r>
              <w:rPr>
                <w:sz w:val="16"/>
              </w:rPr>
              <w:t>la</w:t>
            </w:r>
            <w:r>
              <w:rPr>
                <w:spacing w:val="-10"/>
                <w:sz w:val="16"/>
              </w:rPr>
              <w:t> </w:t>
            </w:r>
            <w:r>
              <w:rPr>
                <w:sz w:val="16"/>
              </w:rPr>
              <w:t>ejecución</w:t>
            </w:r>
            <w:r>
              <w:rPr>
                <w:spacing w:val="-10"/>
                <w:sz w:val="16"/>
              </w:rPr>
              <w:t> </w:t>
            </w:r>
            <w:r>
              <w:rPr>
                <w:sz w:val="16"/>
              </w:rPr>
              <w:t>de</w:t>
            </w:r>
            <w:r>
              <w:rPr>
                <w:spacing w:val="-10"/>
                <w:sz w:val="16"/>
              </w:rPr>
              <w:t> </w:t>
            </w:r>
            <w:r>
              <w:rPr>
                <w:sz w:val="16"/>
              </w:rPr>
              <w:t>las</w:t>
            </w:r>
            <w:r>
              <w:rPr>
                <w:spacing w:val="40"/>
                <w:sz w:val="16"/>
              </w:rPr>
              <w:t> </w:t>
            </w:r>
            <w:r>
              <w:rPr>
                <w:sz w:val="16"/>
              </w:rPr>
              <w:t>obras de soterramiento de las vías, así como el estudio de</w:t>
            </w:r>
            <w:r>
              <w:rPr>
                <w:spacing w:val="40"/>
                <w:sz w:val="16"/>
              </w:rPr>
              <w:t> </w:t>
            </w:r>
            <w:r>
              <w:rPr>
                <w:sz w:val="16"/>
              </w:rPr>
              <w:t>reordenación</w:t>
            </w:r>
            <w:r>
              <w:rPr>
                <w:spacing w:val="-10"/>
                <w:sz w:val="16"/>
              </w:rPr>
              <w:t> </w:t>
            </w:r>
            <w:r>
              <w:rPr>
                <w:sz w:val="16"/>
              </w:rPr>
              <w:t>de</w:t>
            </w:r>
            <w:r>
              <w:rPr>
                <w:spacing w:val="-10"/>
                <w:sz w:val="16"/>
              </w:rPr>
              <w:t> </w:t>
            </w:r>
            <w:r>
              <w:rPr>
                <w:sz w:val="16"/>
              </w:rPr>
              <w:t>la</w:t>
            </w:r>
            <w:r>
              <w:rPr>
                <w:spacing w:val="-10"/>
                <w:sz w:val="16"/>
              </w:rPr>
              <w:t> </w:t>
            </w:r>
            <w:r>
              <w:rPr>
                <w:sz w:val="16"/>
              </w:rPr>
              <w:t>intersección</w:t>
            </w:r>
            <w:r>
              <w:rPr>
                <w:spacing w:val="-10"/>
                <w:sz w:val="16"/>
              </w:rPr>
              <w:t> </w:t>
            </w:r>
            <w:r>
              <w:rPr>
                <w:sz w:val="16"/>
              </w:rPr>
              <w:t>del</w:t>
            </w:r>
            <w:r>
              <w:rPr>
                <w:spacing w:val="-10"/>
                <w:sz w:val="16"/>
              </w:rPr>
              <w:t> </w:t>
            </w:r>
            <w:r>
              <w:rPr>
                <w:sz w:val="16"/>
              </w:rPr>
              <w:t>viario</w:t>
            </w:r>
            <w:r>
              <w:rPr>
                <w:spacing w:val="-10"/>
                <w:sz w:val="16"/>
              </w:rPr>
              <w:t> </w:t>
            </w:r>
            <w:r>
              <w:rPr>
                <w:sz w:val="16"/>
              </w:rPr>
              <w:t>estructurante</w:t>
            </w:r>
            <w:r>
              <w:rPr>
                <w:spacing w:val="-10"/>
                <w:sz w:val="16"/>
              </w:rPr>
              <w:t> </w:t>
            </w:r>
            <w:r>
              <w:rPr>
                <w:sz w:val="16"/>
              </w:rPr>
              <w:t>Ronda</w:t>
            </w:r>
            <w:r>
              <w:rPr>
                <w:spacing w:val="40"/>
                <w:sz w:val="16"/>
              </w:rPr>
              <w:t> </w:t>
            </w:r>
            <w:r>
              <w:rPr>
                <w:sz w:val="16"/>
              </w:rPr>
              <w:t>Sur</w:t>
            </w:r>
            <w:r>
              <w:rPr>
                <w:spacing w:val="30"/>
                <w:sz w:val="16"/>
              </w:rPr>
              <w:t> </w:t>
            </w:r>
            <w:r>
              <w:rPr>
                <w:sz w:val="16"/>
              </w:rPr>
              <w:t>de</w:t>
            </w:r>
            <w:r>
              <w:rPr>
                <w:spacing w:val="32"/>
                <w:sz w:val="16"/>
              </w:rPr>
              <w:t> </w:t>
            </w:r>
            <w:r>
              <w:rPr>
                <w:sz w:val="16"/>
              </w:rPr>
              <w:t>Murcia</w:t>
            </w:r>
            <w:r>
              <w:rPr>
                <w:spacing w:val="31"/>
                <w:sz w:val="16"/>
              </w:rPr>
              <w:t> </w:t>
            </w:r>
            <w:r>
              <w:rPr>
                <w:sz w:val="16"/>
              </w:rPr>
              <w:t>y</w:t>
            </w:r>
            <w:r>
              <w:rPr>
                <w:spacing w:val="33"/>
                <w:sz w:val="16"/>
              </w:rPr>
              <w:t> </w:t>
            </w:r>
            <w:r>
              <w:rPr>
                <w:sz w:val="16"/>
              </w:rPr>
              <w:t>su</w:t>
            </w:r>
            <w:r>
              <w:rPr>
                <w:spacing w:val="32"/>
                <w:sz w:val="16"/>
              </w:rPr>
              <w:t> </w:t>
            </w:r>
            <w:r>
              <w:rPr>
                <w:sz w:val="16"/>
              </w:rPr>
              <w:t>paso</w:t>
            </w:r>
            <w:r>
              <w:rPr>
                <w:spacing w:val="31"/>
                <w:sz w:val="16"/>
              </w:rPr>
              <w:t> </w:t>
            </w:r>
            <w:r>
              <w:rPr>
                <w:sz w:val="16"/>
              </w:rPr>
              <w:t>elevado</w:t>
            </w:r>
            <w:r>
              <w:rPr>
                <w:spacing w:val="32"/>
                <w:sz w:val="16"/>
              </w:rPr>
              <w:t> </w:t>
            </w:r>
            <w:r>
              <w:rPr>
                <w:sz w:val="16"/>
              </w:rPr>
              <w:t>sobre</w:t>
            </w:r>
            <w:r>
              <w:rPr>
                <w:spacing w:val="30"/>
                <w:sz w:val="16"/>
              </w:rPr>
              <w:t> </w:t>
            </w:r>
            <w:r>
              <w:rPr>
                <w:sz w:val="16"/>
              </w:rPr>
              <w:t>el</w:t>
            </w:r>
            <w:r>
              <w:rPr>
                <w:spacing w:val="31"/>
                <w:sz w:val="16"/>
              </w:rPr>
              <w:t> </w:t>
            </w:r>
            <w:r>
              <w:rPr>
                <w:sz w:val="16"/>
              </w:rPr>
              <w:t>actual</w:t>
            </w:r>
            <w:r>
              <w:rPr>
                <w:spacing w:val="33"/>
                <w:sz w:val="16"/>
              </w:rPr>
              <w:t> </w:t>
            </w:r>
            <w:r>
              <w:rPr>
                <w:spacing w:val="-2"/>
                <w:sz w:val="16"/>
              </w:rPr>
              <w:t>espacio</w:t>
            </w:r>
          </w:p>
          <w:p>
            <w:pPr>
              <w:pStyle w:val="TableParagraph"/>
              <w:spacing w:line="181" w:lineRule="exact"/>
              <w:ind w:left="70"/>
              <w:rPr>
                <w:sz w:val="16"/>
              </w:rPr>
            </w:pPr>
            <w:r>
              <w:rPr>
                <w:spacing w:val="-2"/>
                <w:sz w:val="16"/>
              </w:rPr>
              <w:t>ferroviario</w:t>
            </w:r>
          </w:p>
        </w:tc>
        <w:tc>
          <w:tcPr>
            <w:tcW w:w="1164" w:type="dxa"/>
          </w:tcPr>
          <w:p>
            <w:pPr>
              <w:pStyle w:val="TableParagraph"/>
              <w:rPr>
                <w:sz w:val="16"/>
              </w:rPr>
            </w:pPr>
          </w:p>
          <w:p>
            <w:pPr>
              <w:pStyle w:val="TableParagraph"/>
              <w:spacing w:before="110"/>
              <w:rPr>
                <w:sz w:val="16"/>
              </w:rPr>
            </w:pPr>
          </w:p>
          <w:p>
            <w:pPr>
              <w:pStyle w:val="TableParagraph"/>
              <w:ind w:right="48"/>
              <w:jc w:val="right"/>
              <w:rPr>
                <w:sz w:val="16"/>
              </w:rPr>
            </w:pPr>
            <w:r>
              <w:rPr>
                <w:spacing w:val="-2"/>
                <w:sz w:val="16"/>
              </w:rPr>
              <w:t>101.186,25</w:t>
            </w:r>
          </w:p>
        </w:tc>
        <w:tc>
          <w:tcPr>
            <w:tcW w:w="1247" w:type="dxa"/>
          </w:tcPr>
          <w:p>
            <w:pPr>
              <w:pStyle w:val="TableParagraph"/>
              <w:rPr>
                <w:sz w:val="16"/>
              </w:rPr>
            </w:pPr>
          </w:p>
          <w:p>
            <w:pPr>
              <w:pStyle w:val="TableParagraph"/>
              <w:spacing w:before="110"/>
              <w:rPr>
                <w:sz w:val="16"/>
              </w:rPr>
            </w:pPr>
          </w:p>
          <w:p>
            <w:pPr>
              <w:pStyle w:val="TableParagraph"/>
              <w:ind w:right="48"/>
              <w:jc w:val="right"/>
              <w:rPr>
                <w:sz w:val="16"/>
              </w:rPr>
            </w:pPr>
            <w:r>
              <w:rPr>
                <w:spacing w:val="-2"/>
                <w:sz w:val="16"/>
              </w:rPr>
              <w:t>42.198,75</w:t>
            </w:r>
          </w:p>
        </w:tc>
        <w:tc>
          <w:tcPr>
            <w:tcW w:w="1135" w:type="dxa"/>
          </w:tcPr>
          <w:p>
            <w:pPr>
              <w:pStyle w:val="TableParagraph"/>
              <w:rPr>
                <w:sz w:val="16"/>
              </w:rPr>
            </w:pPr>
          </w:p>
          <w:p>
            <w:pPr>
              <w:pStyle w:val="TableParagraph"/>
              <w:spacing w:before="110"/>
              <w:rPr>
                <w:sz w:val="16"/>
              </w:rPr>
            </w:pPr>
          </w:p>
          <w:p>
            <w:pPr>
              <w:pStyle w:val="TableParagraph"/>
              <w:ind w:right="51"/>
              <w:jc w:val="right"/>
              <w:rPr>
                <w:sz w:val="16"/>
              </w:rPr>
            </w:pPr>
            <w:r>
              <w:rPr>
                <w:spacing w:val="-2"/>
                <w:sz w:val="16"/>
              </w:rPr>
              <w:t>-</w:t>
            </w:r>
            <w:r>
              <w:rPr>
                <w:spacing w:val="-10"/>
                <w:sz w:val="16"/>
              </w:rPr>
              <w:t>-</w:t>
            </w:r>
          </w:p>
        </w:tc>
        <w:tc>
          <w:tcPr>
            <w:tcW w:w="1135" w:type="dxa"/>
          </w:tcPr>
          <w:p>
            <w:pPr>
              <w:pStyle w:val="TableParagraph"/>
              <w:rPr>
                <w:sz w:val="16"/>
              </w:rPr>
            </w:pPr>
          </w:p>
          <w:p>
            <w:pPr>
              <w:pStyle w:val="TableParagraph"/>
              <w:spacing w:before="110"/>
              <w:rPr>
                <w:sz w:val="16"/>
              </w:rPr>
            </w:pPr>
          </w:p>
          <w:p>
            <w:pPr>
              <w:pStyle w:val="TableParagraph"/>
              <w:ind w:right="52"/>
              <w:jc w:val="right"/>
              <w:rPr>
                <w:sz w:val="16"/>
              </w:rPr>
            </w:pPr>
            <w:r>
              <w:rPr>
                <w:spacing w:val="-2"/>
                <w:sz w:val="16"/>
              </w:rPr>
              <w:t>-</w:t>
            </w:r>
            <w:r>
              <w:rPr>
                <w:spacing w:val="-10"/>
                <w:sz w:val="16"/>
              </w:rPr>
              <w:t>-</w:t>
            </w:r>
          </w:p>
        </w:tc>
        <w:tc>
          <w:tcPr>
            <w:tcW w:w="1344" w:type="dxa"/>
          </w:tcPr>
          <w:p>
            <w:pPr>
              <w:pStyle w:val="TableParagraph"/>
              <w:rPr>
                <w:sz w:val="16"/>
              </w:rPr>
            </w:pPr>
          </w:p>
          <w:p>
            <w:pPr>
              <w:pStyle w:val="TableParagraph"/>
              <w:spacing w:before="110"/>
              <w:rPr>
                <w:sz w:val="16"/>
              </w:rPr>
            </w:pPr>
          </w:p>
          <w:p>
            <w:pPr>
              <w:pStyle w:val="TableParagraph"/>
              <w:ind w:right="52"/>
              <w:jc w:val="right"/>
              <w:rPr>
                <w:sz w:val="16"/>
              </w:rPr>
            </w:pPr>
            <w:r>
              <w:rPr>
                <w:spacing w:val="-2"/>
                <w:sz w:val="16"/>
              </w:rPr>
              <w:t>143.385,00</w:t>
            </w:r>
          </w:p>
        </w:tc>
      </w:tr>
      <w:tr>
        <w:trPr>
          <w:trHeight w:val="1139" w:hRule="atLeast"/>
        </w:trPr>
        <w:tc>
          <w:tcPr>
            <w:tcW w:w="396" w:type="dxa"/>
          </w:tcPr>
          <w:p>
            <w:pPr>
              <w:pStyle w:val="TableParagraph"/>
              <w:rPr>
                <w:sz w:val="16"/>
              </w:rPr>
            </w:pPr>
          </w:p>
          <w:p>
            <w:pPr>
              <w:pStyle w:val="TableParagraph"/>
              <w:spacing w:before="109"/>
              <w:rPr>
                <w:sz w:val="16"/>
              </w:rPr>
            </w:pPr>
          </w:p>
          <w:p>
            <w:pPr>
              <w:pStyle w:val="TableParagraph"/>
              <w:spacing w:before="1"/>
              <w:ind w:left="19"/>
              <w:jc w:val="center"/>
              <w:rPr>
                <w:sz w:val="16"/>
              </w:rPr>
            </w:pPr>
            <w:r>
              <w:rPr>
                <w:spacing w:val="-10"/>
                <w:sz w:val="16"/>
              </w:rPr>
              <w:t>4</w:t>
            </w:r>
          </w:p>
        </w:tc>
        <w:tc>
          <w:tcPr>
            <w:tcW w:w="4062" w:type="dxa"/>
          </w:tcPr>
          <w:p>
            <w:pPr>
              <w:pStyle w:val="TableParagraph"/>
              <w:spacing w:before="109"/>
              <w:ind w:left="70" w:right="51"/>
              <w:jc w:val="both"/>
              <w:rPr>
                <w:sz w:val="16"/>
              </w:rPr>
            </w:pPr>
            <w:r>
              <w:rPr>
                <w:sz w:val="16"/>
              </w:rPr>
              <w:t>Conceptualización y programación del tratamiento de la</w:t>
            </w:r>
            <w:r>
              <w:rPr>
                <w:spacing w:val="40"/>
                <w:sz w:val="16"/>
              </w:rPr>
              <w:t> </w:t>
            </w:r>
            <w:r>
              <w:rPr>
                <w:sz w:val="16"/>
              </w:rPr>
              <w:t>superficie integral objeto de la actuación urbanística y la</w:t>
            </w:r>
            <w:r>
              <w:rPr>
                <w:spacing w:val="40"/>
                <w:sz w:val="16"/>
              </w:rPr>
              <w:t> </w:t>
            </w:r>
            <w:r>
              <w:rPr>
                <w:sz w:val="16"/>
              </w:rPr>
              <w:t>adaptación,</w:t>
            </w:r>
            <w:r>
              <w:rPr>
                <w:spacing w:val="-2"/>
                <w:sz w:val="16"/>
              </w:rPr>
              <w:t> </w:t>
            </w:r>
            <w:r>
              <w:rPr>
                <w:sz w:val="16"/>
              </w:rPr>
              <w:t>en</w:t>
            </w:r>
            <w:r>
              <w:rPr>
                <w:spacing w:val="-1"/>
                <w:sz w:val="16"/>
              </w:rPr>
              <w:t> </w:t>
            </w:r>
            <w:r>
              <w:rPr>
                <w:sz w:val="16"/>
              </w:rPr>
              <w:t>su</w:t>
            </w:r>
            <w:r>
              <w:rPr>
                <w:spacing w:val="-1"/>
                <w:sz w:val="16"/>
              </w:rPr>
              <w:t> </w:t>
            </w:r>
            <w:r>
              <w:rPr>
                <w:sz w:val="16"/>
              </w:rPr>
              <w:t>caso,</w:t>
            </w:r>
            <w:r>
              <w:rPr>
                <w:spacing w:val="-2"/>
                <w:sz w:val="16"/>
              </w:rPr>
              <w:t> </w:t>
            </w:r>
            <w:r>
              <w:rPr>
                <w:sz w:val="16"/>
              </w:rPr>
              <w:t>del</w:t>
            </w:r>
            <w:r>
              <w:rPr>
                <w:spacing w:val="-2"/>
                <w:sz w:val="16"/>
              </w:rPr>
              <w:t> </w:t>
            </w:r>
            <w:r>
              <w:rPr>
                <w:sz w:val="16"/>
              </w:rPr>
              <w:t>Plan</w:t>
            </w:r>
            <w:r>
              <w:rPr>
                <w:spacing w:val="-1"/>
                <w:sz w:val="16"/>
              </w:rPr>
              <w:t> </w:t>
            </w:r>
            <w:r>
              <w:rPr>
                <w:sz w:val="16"/>
              </w:rPr>
              <w:t>Especial</w:t>
            </w:r>
            <w:r>
              <w:rPr>
                <w:spacing w:val="-2"/>
                <w:sz w:val="16"/>
              </w:rPr>
              <w:t> </w:t>
            </w:r>
            <w:r>
              <w:rPr>
                <w:sz w:val="16"/>
              </w:rPr>
              <w:t>PC</w:t>
            </w:r>
            <w:r>
              <w:rPr>
                <w:spacing w:val="-1"/>
                <w:sz w:val="16"/>
              </w:rPr>
              <w:t> </w:t>
            </w:r>
            <w:r>
              <w:rPr>
                <w:sz w:val="16"/>
              </w:rPr>
              <w:t>Mc10,</w:t>
            </w:r>
            <w:r>
              <w:rPr>
                <w:spacing w:val="-2"/>
                <w:sz w:val="16"/>
              </w:rPr>
              <w:t> </w:t>
            </w:r>
            <w:r>
              <w:rPr>
                <w:sz w:val="16"/>
              </w:rPr>
              <w:t>Estación</w:t>
            </w:r>
            <w:r>
              <w:rPr>
                <w:spacing w:val="40"/>
                <w:sz w:val="16"/>
              </w:rPr>
              <w:t> </w:t>
            </w:r>
            <w:r>
              <w:rPr>
                <w:sz w:val="16"/>
              </w:rPr>
              <w:t>del Carmen a las nuevas determinaciones derivadas de los</w:t>
            </w:r>
            <w:r>
              <w:rPr>
                <w:spacing w:val="40"/>
                <w:sz w:val="16"/>
              </w:rPr>
              <w:t> </w:t>
            </w:r>
            <w:r>
              <w:rPr>
                <w:sz w:val="16"/>
              </w:rPr>
              <w:t>proyectos ferroviarios finalmente objeto de la actuación</w:t>
            </w:r>
          </w:p>
        </w:tc>
        <w:tc>
          <w:tcPr>
            <w:tcW w:w="1164" w:type="dxa"/>
          </w:tcPr>
          <w:p>
            <w:pPr>
              <w:pStyle w:val="TableParagraph"/>
              <w:rPr>
                <w:sz w:val="16"/>
              </w:rPr>
            </w:pPr>
          </w:p>
          <w:p>
            <w:pPr>
              <w:pStyle w:val="TableParagraph"/>
              <w:spacing w:before="109"/>
              <w:rPr>
                <w:sz w:val="16"/>
              </w:rPr>
            </w:pPr>
          </w:p>
          <w:p>
            <w:pPr>
              <w:pStyle w:val="TableParagraph"/>
              <w:spacing w:before="1"/>
              <w:ind w:right="48"/>
              <w:jc w:val="right"/>
              <w:rPr>
                <w:sz w:val="16"/>
              </w:rPr>
            </w:pPr>
            <w:r>
              <w:rPr>
                <w:spacing w:val="-2"/>
                <w:sz w:val="16"/>
              </w:rPr>
              <w:t>105.270,00</w:t>
            </w:r>
          </w:p>
        </w:tc>
        <w:tc>
          <w:tcPr>
            <w:tcW w:w="1247" w:type="dxa"/>
          </w:tcPr>
          <w:p>
            <w:pPr>
              <w:pStyle w:val="TableParagraph"/>
              <w:rPr>
                <w:sz w:val="16"/>
              </w:rPr>
            </w:pPr>
          </w:p>
          <w:p>
            <w:pPr>
              <w:pStyle w:val="TableParagraph"/>
              <w:spacing w:before="109"/>
              <w:rPr>
                <w:sz w:val="16"/>
              </w:rPr>
            </w:pPr>
          </w:p>
          <w:p>
            <w:pPr>
              <w:pStyle w:val="TableParagraph"/>
              <w:spacing w:before="1"/>
              <w:ind w:right="48"/>
              <w:jc w:val="right"/>
              <w:rPr>
                <w:sz w:val="16"/>
              </w:rPr>
            </w:pPr>
            <w:r>
              <w:rPr>
                <w:spacing w:val="-2"/>
                <w:sz w:val="16"/>
              </w:rPr>
              <w:t>34.122,00</w:t>
            </w:r>
          </w:p>
        </w:tc>
        <w:tc>
          <w:tcPr>
            <w:tcW w:w="1135" w:type="dxa"/>
          </w:tcPr>
          <w:p>
            <w:pPr>
              <w:pStyle w:val="TableParagraph"/>
              <w:rPr>
                <w:sz w:val="16"/>
              </w:rPr>
            </w:pPr>
          </w:p>
          <w:p>
            <w:pPr>
              <w:pStyle w:val="TableParagraph"/>
              <w:spacing w:before="109"/>
              <w:rPr>
                <w:sz w:val="16"/>
              </w:rPr>
            </w:pPr>
          </w:p>
          <w:p>
            <w:pPr>
              <w:pStyle w:val="TableParagraph"/>
              <w:spacing w:before="1"/>
              <w:ind w:right="50"/>
              <w:jc w:val="right"/>
              <w:rPr>
                <w:sz w:val="16"/>
              </w:rPr>
            </w:pPr>
            <w:r>
              <w:rPr>
                <w:spacing w:val="-10"/>
                <w:sz w:val="16"/>
              </w:rPr>
              <w:t>-</w:t>
            </w:r>
          </w:p>
        </w:tc>
        <w:tc>
          <w:tcPr>
            <w:tcW w:w="1135" w:type="dxa"/>
          </w:tcPr>
          <w:p>
            <w:pPr>
              <w:pStyle w:val="TableParagraph"/>
              <w:rPr>
                <w:sz w:val="16"/>
              </w:rPr>
            </w:pPr>
          </w:p>
          <w:p>
            <w:pPr>
              <w:pStyle w:val="TableParagraph"/>
              <w:spacing w:before="109"/>
              <w:rPr>
                <w:sz w:val="16"/>
              </w:rPr>
            </w:pPr>
          </w:p>
          <w:p>
            <w:pPr>
              <w:pStyle w:val="TableParagraph"/>
              <w:spacing w:before="1"/>
              <w:ind w:right="51"/>
              <w:jc w:val="right"/>
              <w:rPr>
                <w:sz w:val="16"/>
              </w:rPr>
            </w:pPr>
            <w:r>
              <w:rPr>
                <w:spacing w:val="-10"/>
                <w:sz w:val="16"/>
              </w:rPr>
              <w:t>-</w:t>
            </w:r>
          </w:p>
        </w:tc>
        <w:tc>
          <w:tcPr>
            <w:tcW w:w="1344" w:type="dxa"/>
          </w:tcPr>
          <w:p>
            <w:pPr>
              <w:pStyle w:val="TableParagraph"/>
              <w:rPr>
                <w:sz w:val="16"/>
              </w:rPr>
            </w:pPr>
          </w:p>
          <w:p>
            <w:pPr>
              <w:pStyle w:val="TableParagraph"/>
              <w:spacing w:before="109"/>
              <w:rPr>
                <w:sz w:val="16"/>
              </w:rPr>
            </w:pPr>
          </w:p>
          <w:p>
            <w:pPr>
              <w:pStyle w:val="TableParagraph"/>
              <w:spacing w:before="1"/>
              <w:ind w:right="52"/>
              <w:jc w:val="right"/>
              <w:rPr>
                <w:sz w:val="16"/>
              </w:rPr>
            </w:pPr>
            <w:r>
              <w:rPr>
                <w:spacing w:val="-2"/>
                <w:sz w:val="16"/>
              </w:rPr>
              <w:t>139.392,00</w:t>
            </w:r>
          </w:p>
        </w:tc>
      </w:tr>
      <w:tr>
        <w:trPr>
          <w:trHeight w:val="1139" w:hRule="atLeast"/>
        </w:trPr>
        <w:tc>
          <w:tcPr>
            <w:tcW w:w="396" w:type="dxa"/>
          </w:tcPr>
          <w:p>
            <w:pPr>
              <w:pStyle w:val="TableParagraph"/>
              <w:rPr>
                <w:sz w:val="16"/>
              </w:rPr>
            </w:pPr>
          </w:p>
          <w:p>
            <w:pPr>
              <w:pStyle w:val="TableParagraph"/>
              <w:spacing w:before="109"/>
              <w:rPr>
                <w:sz w:val="16"/>
              </w:rPr>
            </w:pPr>
          </w:p>
          <w:p>
            <w:pPr>
              <w:pStyle w:val="TableParagraph"/>
              <w:spacing w:before="1"/>
              <w:ind w:left="19"/>
              <w:jc w:val="center"/>
              <w:rPr>
                <w:sz w:val="16"/>
              </w:rPr>
            </w:pPr>
            <w:r>
              <w:rPr>
                <w:spacing w:val="-10"/>
                <w:sz w:val="16"/>
              </w:rPr>
              <w:t>5</w:t>
            </w:r>
          </w:p>
        </w:tc>
        <w:tc>
          <w:tcPr>
            <w:tcW w:w="4062" w:type="dxa"/>
          </w:tcPr>
          <w:p>
            <w:pPr>
              <w:pStyle w:val="TableParagraph"/>
              <w:spacing w:before="17"/>
              <w:ind w:left="70" w:right="47"/>
              <w:jc w:val="both"/>
              <w:rPr>
                <w:sz w:val="16"/>
              </w:rPr>
            </w:pPr>
            <w:r>
              <w:rPr>
                <w:sz w:val="16"/>
              </w:rPr>
              <w:t>Dirección Facultativa y de Coordinación de Seguridad y</w:t>
            </w:r>
            <w:r>
              <w:rPr>
                <w:spacing w:val="40"/>
                <w:sz w:val="16"/>
              </w:rPr>
              <w:t> </w:t>
            </w:r>
            <w:r>
              <w:rPr>
                <w:sz w:val="16"/>
              </w:rPr>
              <w:t>Salud de las obras de urbanización del ámbito PC-Mc10,</w:t>
            </w:r>
            <w:r>
              <w:rPr>
                <w:spacing w:val="40"/>
                <w:sz w:val="16"/>
              </w:rPr>
              <w:t> </w:t>
            </w:r>
            <w:r>
              <w:rPr>
                <w:sz w:val="16"/>
              </w:rPr>
              <w:t>incluidas aquellas que resulten complementarias al mismo,</w:t>
            </w:r>
            <w:r>
              <w:rPr>
                <w:spacing w:val="40"/>
                <w:sz w:val="16"/>
              </w:rPr>
              <w:t> </w:t>
            </w:r>
            <w:r>
              <w:rPr>
                <w:sz w:val="16"/>
              </w:rPr>
              <w:t>derivadas</w:t>
            </w:r>
            <w:r>
              <w:rPr>
                <w:spacing w:val="46"/>
                <w:sz w:val="16"/>
              </w:rPr>
              <w:t> </w:t>
            </w:r>
            <w:r>
              <w:rPr>
                <w:sz w:val="16"/>
              </w:rPr>
              <w:t>del</w:t>
            </w:r>
            <w:r>
              <w:rPr>
                <w:spacing w:val="46"/>
                <w:sz w:val="16"/>
              </w:rPr>
              <w:t> </w:t>
            </w:r>
            <w:r>
              <w:rPr>
                <w:sz w:val="16"/>
              </w:rPr>
              <w:t>redimensionamiento</w:t>
            </w:r>
            <w:r>
              <w:rPr>
                <w:spacing w:val="46"/>
                <w:sz w:val="16"/>
              </w:rPr>
              <w:t> </w:t>
            </w:r>
            <w:r>
              <w:rPr>
                <w:sz w:val="16"/>
              </w:rPr>
              <w:t>y/o</w:t>
            </w:r>
            <w:r>
              <w:rPr>
                <w:spacing w:val="46"/>
                <w:sz w:val="16"/>
              </w:rPr>
              <w:t> </w:t>
            </w:r>
            <w:r>
              <w:rPr>
                <w:sz w:val="16"/>
              </w:rPr>
              <w:t>redefinición</w:t>
            </w:r>
            <w:r>
              <w:rPr>
                <w:spacing w:val="46"/>
                <w:sz w:val="16"/>
              </w:rPr>
              <w:t> </w:t>
            </w:r>
            <w:r>
              <w:rPr>
                <w:sz w:val="16"/>
              </w:rPr>
              <w:t>de</w:t>
            </w:r>
            <w:r>
              <w:rPr>
                <w:spacing w:val="46"/>
                <w:sz w:val="16"/>
              </w:rPr>
              <w:t> </w:t>
            </w:r>
            <w:r>
              <w:rPr>
                <w:spacing w:val="-5"/>
                <w:sz w:val="16"/>
              </w:rPr>
              <w:t>la</w:t>
            </w:r>
          </w:p>
          <w:p>
            <w:pPr>
              <w:pStyle w:val="TableParagraph"/>
              <w:spacing w:line="184" w:lineRule="exact"/>
              <w:ind w:left="70" w:right="50"/>
              <w:jc w:val="both"/>
              <w:rPr>
                <w:sz w:val="16"/>
              </w:rPr>
            </w:pPr>
            <w:r>
              <w:rPr>
                <w:sz w:val="16"/>
              </w:rPr>
              <w:t>actuación de integración ferroviaria, incluso exteriores al</w:t>
            </w:r>
            <w:r>
              <w:rPr>
                <w:spacing w:val="40"/>
                <w:sz w:val="16"/>
              </w:rPr>
              <w:t> </w:t>
            </w:r>
            <w:r>
              <w:rPr>
                <w:sz w:val="16"/>
              </w:rPr>
              <w:t>ámbito del Plan Especial</w:t>
            </w:r>
          </w:p>
        </w:tc>
        <w:tc>
          <w:tcPr>
            <w:tcW w:w="1164" w:type="dxa"/>
          </w:tcPr>
          <w:p>
            <w:pPr>
              <w:pStyle w:val="TableParagraph"/>
              <w:rPr>
                <w:sz w:val="16"/>
              </w:rPr>
            </w:pPr>
          </w:p>
          <w:p>
            <w:pPr>
              <w:pStyle w:val="TableParagraph"/>
              <w:spacing w:before="109"/>
              <w:rPr>
                <w:sz w:val="16"/>
              </w:rPr>
            </w:pPr>
          </w:p>
          <w:p>
            <w:pPr>
              <w:pStyle w:val="TableParagraph"/>
              <w:spacing w:before="1"/>
              <w:ind w:right="48"/>
              <w:jc w:val="right"/>
              <w:rPr>
                <w:sz w:val="16"/>
              </w:rPr>
            </w:pPr>
            <w:r>
              <w:rPr>
                <w:spacing w:val="-2"/>
                <w:sz w:val="16"/>
              </w:rPr>
              <w:t>176.283,87</w:t>
            </w:r>
          </w:p>
        </w:tc>
        <w:tc>
          <w:tcPr>
            <w:tcW w:w="1247" w:type="dxa"/>
          </w:tcPr>
          <w:p>
            <w:pPr>
              <w:pStyle w:val="TableParagraph"/>
              <w:rPr>
                <w:sz w:val="16"/>
              </w:rPr>
            </w:pPr>
          </w:p>
          <w:p>
            <w:pPr>
              <w:pStyle w:val="TableParagraph"/>
              <w:spacing w:before="109"/>
              <w:rPr>
                <w:sz w:val="16"/>
              </w:rPr>
            </w:pPr>
          </w:p>
          <w:p>
            <w:pPr>
              <w:pStyle w:val="TableParagraph"/>
              <w:spacing w:before="1"/>
              <w:ind w:right="48"/>
              <w:jc w:val="right"/>
              <w:rPr>
                <w:sz w:val="16"/>
              </w:rPr>
            </w:pPr>
            <w:r>
              <w:rPr>
                <w:spacing w:val="-2"/>
                <w:sz w:val="16"/>
              </w:rPr>
              <w:t>31.108,92</w:t>
            </w:r>
          </w:p>
        </w:tc>
        <w:tc>
          <w:tcPr>
            <w:tcW w:w="1135" w:type="dxa"/>
          </w:tcPr>
          <w:p>
            <w:pPr>
              <w:pStyle w:val="TableParagraph"/>
              <w:rPr>
                <w:sz w:val="16"/>
              </w:rPr>
            </w:pPr>
          </w:p>
          <w:p>
            <w:pPr>
              <w:pStyle w:val="TableParagraph"/>
              <w:spacing w:before="109"/>
              <w:rPr>
                <w:sz w:val="16"/>
              </w:rPr>
            </w:pPr>
          </w:p>
          <w:p>
            <w:pPr>
              <w:pStyle w:val="TableParagraph"/>
              <w:spacing w:before="1"/>
              <w:ind w:right="50"/>
              <w:jc w:val="right"/>
              <w:rPr>
                <w:sz w:val="16"/>
              </w:rPr>
            </w:pPr>
            <w:r>
              <w:rPr>
                <w:spacing w:val="-2"/>
                <w:sz w:val="16"/>
              </w:rPr>
              <w:t>83.857,84</w:t>
            </w:r>
          </w:p>
        </w:tc>
        <w:tc>
          <w:tcPr>
            <w:tcW w:w="1135" w:type="dxa"/>
          </w:tcPr>
          <w:p>
            <w:pPr>
              <w:pStyle w:val="TableParagraph"/>
              <w:rPr>
                <w:sz w:val="16"/>
              </w:rPr>
            </w:pPr>
          </w:p>
          <w:p>
            <w:pPr>
              <w:pStyle w:val="TableParagraph"/>
              <w:spacing w:before="109"/>
              <w:rPr>
                <w:sz w:val="16"/>
              </w:rPr>
            </w:pPr>
          </w:p>
          <w:p>
            <w:pPr>
              <w:pStyle w:val="TableParagraph"/>
              <w:spacing w:before="1"/>
              <w:ind w:right="51"/>
              <w:jc w:val="right"/>
              <w:rPr>
                <w:sz w:val="16"/>
              </w:rPr>
            </w:pPr>
            <w:r>
              <w:rPr>
                <w:spacing w:val="-2"/>
                <w:sz w:val="16"/>
              </w:rPr>
              <w:t>984.442,69</w:t>
            </w:r>
          </w:p>
        </w:tc>
        <w:tc>
          <w:tcPr>
            <w:tcW w:w="1344" w:type="dxa"/>
          </w:tcPr>
          <w:p>
            <w:pPr>
              <w:pStyle w:val="TableParagraph"/>
              <w:rPr>
                <w:sz w:val="16"/>
              </w:rPr>
            </w:pPr>
          </w:p>
          <w:p>
            <w:pPr>
              <w:pStyle w:val="TableParagraph"/>
              <w:spacing w:before="109"/>
              <w:rPr>
                <w:sz w:val="16"/>
              </w:rPr>
            </w:pPr>
          </w:p>
          <w:p>
            <w:pPr>
              <w:pStyle w:val="TableParagraph"/>
              <w:spacing w:before="1"/>
              <w:ind w:right="52"/>
              <w:jc w:val="right"/>
              <w:rPr>
                <w:sz w:val="16"/>
              </w:rPr>
            </w:pPr>
            <w:r>
              <w:rPr>
                <w:spacing w:val="-2"/>
                <w:sz w:val="16"/>
              </w:rPr>
              <w:t>1.275.693,32</w:t>
            </w:r>
          </w:p>
        </w:tc>
      </w:tr>
      <w:tr>
        <w:trPr>
          <w:trHeight w:val="1139" w:hRule="atLeast"/>
        </w:trPr>
        <w:tc>
          <w:tcPr>
            <w:tcW w:w="396" w:type="dxa"/>
          </w:tcPr>
          <w:p>
            <w:pPr>
              <w:pStyle w:val="TableParagraph"/>
              <w:rPr>
                <w:sz w:val="16"/>
              </w:rPr>
            </w:pPr>
          </w:p>
          <w:p>
            <w:pPr>
              <w:pStyle w:val="TableParagraph"/>
              <w:spacing w:before="108"/>
              <w:rPr>
                <w:sz w:val="16"/>
              </w:rPr>
            </w:pPr>
          </w:p>
          <w:p>
            <w:pPr>
              <w:pStyle w:val="TableParagraph"/>
              <w:ind w:left="19"/>
              <w:jc w:val="center"/>
              <w:rPr>
                <w:sz w:val="16"/>
              </w:rPr>
            </w:pPr>
            <w:r>
              <w:rPr>
                <w:spacing w:val="-10"/>
                <w:sz w:val="16"/>
              </w:rPr>
              <w:t>6</w:t>
            </w:r>
          </w:p>
        </w:tc>
        <w:tc>
          <w:tcPr>
            <w:tcW w:w="4062" w:type="dxa"/>
          </w:tcPr>
          <w:p>
            <w:pPr>
              <w:pStyle w:val="TableParagraph"/>
              <w:spacing w:before="109"/>
              <w:ind w:left="70" w:right="50"/>
              <w:jc w:val="both"/>
              <w:rPr>
                <w:sz w:val="16"/>
              </w:rPr>
            </w:pPr>
            <w:r>
              <w:rPr>
                <w:sz w:val="16"/>
              </w:rPr>
              <w:t>Proyectos de Estación de Autobuses y aparcamiento</w:t>
            </w:r>
            <w:r>
              <w:rPr>
                <w:spacing w:val="40"/>
                <w:sz w:val="16"/>
              </w:rPr>
              <w:t> </w:t>
            </w:r>
            <w:r>
              <w:rPr>
                <w:sz w:val="16"/>
              </w:rPr>
              <w:t>subterráneo, considerando la Dirección Facultativa y de</w:t>
            </w:r>
            <w:r>
              <w:rPr>
                <w:spacing w:val="40"/>
                <w:sz w:val="16"/>
              </w:rPr>
              <w:t> </w:t>
            </w:r>
            <w:r>
              <w:rPr>
                <w:sz w:val="16"/>
              </w:rPr>
              <w:t>Coordinación</w:t>
            </w:r>
            <w:r>
              <w:rPr>
                <w:spacing w:val="-10"/>
                <w:sz w:val="16"/>
              </w:rPr>
              <w:t> </w:t>
            </w:r>
            <w:r>
              <w:rPr>
                <w:sz w:val="16"/>
              </w:rPr>
              <w:t>de</w:t>
            </w:r>
            <w:r>
              <w:rPr>
                <w:spacing w:val="-10"/>
                <w:sz w:val="16"/>
              </w:rPr>
              <w:t> </w:t>
            </w:r>
            <w:r>
              <w:rPr>
                <w:sz w:val="16"/>
              </w:rPr>
              <w:t>Seguridad</w:t>
            </w:r>
            <w:r>
              <w:rPr>
                <w:spacing w:val="-10"/>
                <w:sz w:val="16"/>
              </w:rPr>
              <w:t> </w:t>
            </w:r>
            <w:r>
              <w:rPr>
                <w:sz w:val="16"/>
              </w:rPr>
              <w:t>y</w:t>
            </w:r>
            <w:r>
              <w:rPr>
                <w:spacing w:val="-10"/>
                <w:sz w:val="16"/>
              </w:rPr>
              <w:t> </w:t>
            </w:r>
            <w:r>
              <w:rPr>
                <w:sz w:val="16"/>
              </w:rPr>
              <w:t>Salud</w:t>
            </w:r>
            <w:r>
              <w:rPr>
                <w:spacing w:val="-10"/>
                <w:sz w:val="16"/>
              </w:rPr>
              <w:t> </w:t>
            </w:r>
            <w:r>
              <w:rPr>
                <w:sz w:val="16"/>
              </w:rPr>
              <w:t>de</w:t>
            </w:r>
            <w:r>
              <w:rPr>
                <w:spacing w:val="-10"/>
                <w:sz w:val="16"/>
              </w:rPr>
              <w:t> </w:t>
            </w:r>
            <w:r>
              <w:rPr>
                <w:sz w:val="16"/>
              </w:rPr>
              <w:t>las</w:t>
            </w:r>
            <w:r>
              <w:rPr>
                <w:spacing w:val="-10"/>
                <w:sz w:val="16"/>
              </w:rPr>
              <w:t> </w:t>
            </w:r>
            <w:r>
              <w:rPr>
                <w:sz w:val="16"/>
              </w:rPr>
              <w:t>obras</w:t>
            </w:r>
            <w:r>
              <w:rPr>
                <w:spacing w:val="-10"/>
                <w:sz w:val="16"/>
              </w:rPr>
              <w:t> </w:t>
            </w:r>
            <w:r>
              <w:rPr>
                <w:sz w:val="16"/>
              </w:rPr>
              <w:t>de</w:t>
            </w:r>
            <w:r>
              <w:rPr>
                <w:spacing w:val="-10"/>
                <w:sz w:val="16"/>
              </w:rPr>
              <w:t> </w:t>
            </w:r>
            <w:r>
              <w:rPr>
                <w:sz w:val="16"/>
              </w:rPr>
              <w:t>la</w:t>
            </w:r>
            <w:r>
              <w:rPr>
                <w:spacing w:val="-10"/>
                <w:sz w:val="16"/>
              </w:rPr>
              <w:t> </w:t>
            </w:r>
            <w:r>
              <w:rPr>
                <w:sz w:val="16"/>
              </w:rPr>
              <w:t>Estación</w:t>
            </w:r>
            <w:r>
              <w:rPr>
                <w:spacing w:val="40"/>
                <w:sz w:val="16"/>
              </w:rPr>
              <w:t> </w:t>
            </w:r>
            <w:r>
              <w:rPr>
                <w:sz w:val="16"/>
              </w:rPr>
              <w:t>de</w:t>
            </w:r>
            <w:r>
              <w:rPr>
                <w:spacing w:val="-10"/>
                <w:sz w:val="16"/>
              </w:rPr>
              <w:t> </w:t>
            </w:r>
            <w:r>
              <w:rPr>
                <w:sz w:val="16"/>
              </w:rPr>
              <w:t>Autobuses</w:t>
            </w:r>
            <w:r>
              <w:rPr>
                <w:spacing w:val="-10"/>
                <w:sz w:val="16"/>
              </w:rPr>
              <w:t> </w:t>
            </w:r>
            <w:r>
              <w:rPr>
                <w:sz w:val="16"/>
              </w:rPr>
              <w:t>y</w:t>
            </w:r>
            <w:r>
              <w:rPr>
                <w:spacing w:val="-10"/>
                <w:sz w:val="16"/>
              </w:rPr>
              <w:t> </w:t>
            </w:r>
            <w:r>
              <w:rPr>
                <w:sz w:val="16"/>
              </w:rPr>
              <w:t>aparcamiento</w:t>
            </w:r>
            <w:r>
              <w:rPr>
                <w:spacing w:val="-10"/>
                <w:sz w:val="16"/>
              </w:rPr>
              <w:t> </w:t>
            </w:r>
            <w:r>
              <w:rPr>
                <w:sz w:val="16"/>
              </w:rPr>
              <w:t>subterráneo,</w:t>
            </w:r>
            <w:r>
              <w:rPr>
                <w:spacing w:val="-10"/>
                <w:sz w:val="16"/>
              </w:rPr>
              <w:t> </w:t>
            </w:r>
            <w:r>
              <w:rPr>
                <w:sz w:val="16"/>
              </w:rPr>
              <w:t>así</w:t>
            </w:r>
            <w:r>
              <w:rPr>
                <w:spacing w:val="-10"/>
                <w:sz w:val="16"/>
              </w:rPr>
              <w:t> </w:t>
            </w:r>
            <w:r>
              <w:rPr>
                <w:sz w:val="16"/>
              </w:rPr>
              <w:t>como</w:t>
            </w:r>
            <w:r>
              <w:rPr>
                <w:spacing w:val="-10"/>
                <w:sz w:val="16"/>
              </w:rPr>
              <w:t> </w:t>
            </w:r>
            <w:r>
              <w:rPr>
                <w:sz w:val="16"/>
              </w:rPr>
              <w:t>el</w:t>
            </w:r>
            <w:r>
              <w:rPr>
                <w:spacing w:val="-10"/>
                <w:sz w:val="16"/>
              </w:rPr>
              <w:t> </w:t>
            </w:r>
            <w:r>
              <w:rPr>
                <w:sz w:val="16"/>
              </w:rPr>
              <w:t>control</w:t>
            </w:r>
            <w:r>
              <w:rPr>
                <w:spacing w:val="40"/>
                <w:sz w:val="16"/>
              </w:rPr>
              <w:t> </w:t>
            </w:r>
            <w:r>
              <w:rPr>
                <w:sz w:val="16"/>
              </w:rPr>
              <w:t>de calidad del proyecto</w:t>
            </w:r>
          </w:p>
        </w:tc>
        <w:tc>
          <w:tcPr>
            <w:tcW w:w="1164" w:type="dxa"/>
          </w:tcPr>
          <w:p>
            <w:pPr>
              <w:pStyle w:val="TableParagraph"/>
              <w:rPr>
                <w:sz w:val="16"/>
              </w:rPr>
            </w:pPr>
          </w:p>
          <w:p>
            <w:pPr>
              <w:pStyle w:val="TableParagraph"/>
              <w:spacing w:before="108"/>
              <w:rPr>
                <w:sz w:val="16"/>
              </w:rPr>
            </w:pPr>
          </w:p>
          <w:p>
            <w:pPr>
              <w:pStyle w:val="TableParagraph"/>
              <w:ind w:right="48"/>
              <w:jc w:val="right"/>
              <w:rPr>
                <w:sz w:val="16"/>
              </w:rPr>
            </w:pPr>
            <w:r>
              <w:rPr>
                <w:spacing w:val="-10"/>
                <w:sz w:val="16"/>
              </w:rPr>
              <w:t>-</w:t>
            </w:r>
          </w:p>
        </w:tc>
        <w:tc>
          <w:tcPr>
            <w:tcW w:w="1247" w:type="dxa"/>
          </w:tcPr>
          <w:p>
            <w:pPr>
              <w:pStyle w:val="TableParagraph"/>
              <w:rPr>
                <w:sz w:val="16"/>
              </w:rPr>
            </w:pPr>
          </w:p>
          <w:p>
            <w:pPr>
              <w:pStyle w:val="TableParagraph"/>
              <w:spacing w:before="108"/>
              <w:rPr>
                <w:sz w:val="16"/>
              </w:rPr>
            </w:pPr>
          </w:p>
          <w:p>
            <w:pPr>
              <w:pStyle w:val="TableParagraph"/>
              <w:ind w:right="48"/>
              <w:jc w:val="right"/>
              <w:rPr>
                <w:sz w:val="16"/>
              </w:rPr>
            </w:pPr>
            <w:r>
              <w:rPr>
                <w:spacing w:val="-2"/>
                <w:sz w:val="16"/>
              </w:rPr>
              <w:t>645.898,00</w:t>
            </w:r>
          </w:p>
        </w:tc>
        <w:tc>
          <w:tcPr>
            <w:tcW w:w="1135" w:type="dxa"/>
          </w:tcPr>
          <w:p>
            <w:pPr>
              <w:pStyle w:val="TableParagraph"/>
              <w:rPr>
                <w:sz w:val="16"/>
              </w:rPr>
            </w:pPr>
          </w:p>
          <w:p>
            <w:pPr>
              <w:pStyle w:val="TableParagraph"/>
              <w:spacing w:before="108"/>
              <w:rPr>
                <w:sz w:val="16"/>
              </w:rPr>
            </w:pPr>
          </w:p>
          <w:p>
            <w:pPr>
              <w:pStyle w:val="TableParagraph"/>
              <w:ind w:right="50"/>
              <w:jc w:val="right"/>
              <w:rPr>
                <w:sz w:val="16"/>
              </w:rPr>
            </w:pPr>
            <w:r>
              <w:rPr>
                <w:spacing w:val="-2"/>
                <w:sz w:val="16"/>
              </w:rPr>
              <w:t>968.847,00</w:t>
            </w:r>
          </w:p>
        </w:tc>
        <w:tc>
          <w:tcPr>
            <w:tcW w:w="1135" w:type="dxa"/>
          </w:tcPr>
          <w:p>
            <w:pPr>
              <w:pStyle w:val="TableParagraph"/>
              <w:rPr>
                <w:sz w:val="16"/>
              </w:rPr>
            </w:pPr>
          </w:p>
          <w:p>
            <w:pPr>
              <w:pStyle w:val="TableParagraph"/>
              <w:spacing w:before="108"/>
              <w:rPr>
                <w:sz w:val="16"/>
              </w:rPr>
            </w:pPr>
          </w:p>
          <w:p>
            <w:pPr>
              <w:pStyle w:val="TableParagraph"/>
              <w:ind w:right="51"/>
              <w:jc w:val="right"/>
              <w:rPr>
                <w:sz w:val="16"/>
              </w:rPr>
            </w:pPr>
            <w:r>
              <w:rPr>
                <w:spacing w:val="-2"/>
                <w:sz w:val="16"/>
              </w:rPr>
              <w:t>691.152,00</w:t>
            </w:r>
          </w:p>
        </w:tc>
        <w:tc>
          <w:tcPr>
            <w:tcW w:w="1344" w:type="dxa"/>
          </w:tcPr>
          <w:p>
            <w:pPr>
              <w:pStyle w:val="TableParagraph"/>
              <w:rPr>
                <w:sz w:val="16"/>
              </w:rPr>
            </w:pPr>
          </w:p>
          <w:p>
            <w:pPr>
              <w:pStyle w:val="TableParagraph"/>
              <w:spacing w:before="108"/>
              <w:rPr>
                <w:sz w:val="16"/>
              </w:rPr>
            </w:pPr>
          </w:p>
          <w:p>
            <w:pPr>
              <w:pStyle w:val="TableParagraph"/>
              <w:ind w:right="52"/>
              <w:jc w:val="right"/>
              <w:rPr>
                <w:sz w:val="16"/>
              </w:rPr>
            </w:pPr>
            <w:r>
              <w:rPr>
                <w:spacing w:val="-2"/>
                <w:sz w:val="16"/>
              </w:rPr>
              <w:t>2.305.897,00</w:t>
            </w:r>
          </w:p>
        </w:tc>
      </w:tr>
      <w:tr>
        <w:trPr>
          <w:trHeight w:val="390" w:hRule="atLeast"/>
        </w:trPr>
        <w:tc>
          <w:tcPr>
            <w:tcW w:w="396" w:type="dxa"/>
          </w:tcPr>
          <w:p>
            <w:pPr>
              <w:pStyle w:val="TableParagraph"/>
              <w:rPr>
                <w:sz w:val="18"/>
              </w:rPr>
            </w:pPr>
          </w:p>
        </w:tc>
        <w:tc>
          <w:tcPr>
            <w:tcW w:w="4062" w:type="dxa"/>
          </w:tcPr>
          <w:p>
            <w:pPr>
              <w:pStyle w:val="TableParagraph"/>
              <w:spacing w:before="103"/>
              <w:ind w:left="1068"/>
              <w:rPr>
                <w:b/>
                <w:sz w:val="16"/>
              </w:rPr>
            </w:pPr>
            <w:r>
              <w:rPr>
                <w:b/>
                <w:sz w:val="16"/>
              </w:rPr>
              <w:t>Coste</w:t>
            </w:r>
            <w:r>
              <w:rPr>
                <w:b/>
                <w:spacing w:val="-9"/>
                <w:sz w:val="16"/>
              </w:rPr>
              <w:t> </w:t>
            </w:r>
            <w:r>
              <w:rPr>
                <w:b/>
                <w:sz w:val="16"/>
              </w:rPr>
              <w:t>total</w:t>
            </w:r>
            <w:r>
              <w:rPr>
                <w:b/>
                <w:spacing w:val="-7"/>
                <w:sz w:val="16"/>
              </w:rPr>
              <w:t> </w:t>
            </w:r>
            <w:r>
              <w:rPr>
                <w:b/>
                <w:sz w:val="16"/>
              </w:rPr>
              <w:t>(incluidos</w:t>
            </w:r>
            <w:r>
              <w:rPr>
                <w:b/>
                <w:spacing w:val="-8"/>
                <w:sz w:val="16"/>
              </w:rPr>
              <w:t> </w:t>
            </w:r>
            <w:r>
              <w:rPr>
                <w:b/>
                <w:sz w:val="16"/>
              </w:rPr>
              <w:t>impuestos</w:t>
            </w:r>
            <w:r>
              <w:rPr>
                <w:b/>
                <w:spacing w:val="-7"/>
                <w:sz w:val="16"/>
              </w:rPr>
              <w:t> </w:t>
            </w:r>
            <w:r>
              <w:rPr>
                <w:b/>
                <w:spacing w:val="-2"/>
                <w:sz w:val="16"/>
              </w:rPr>
              <w:t>21%IVA):</w:t>
            </w:r>
          </w:p>
        </w:tc>
        <w:tc>
          <w:tcPr>
            <w:tcW w:w="1164" w:type="dxa"/>
          </w:tcPr>
          <w:p>
            <w:pPr>
              <w:pStyle w:val="TableParagraph"/>
              <w:spacing w:before="103"/>
              <w:ind w:right="48"/>
              <w:jc w:val="right"/>
              <w:rPr>
                <w:b/>
                <w:sz w:val="16"/>
              </w:rPr>
            </w:pPr>
            <w:r>
              <w:rPr>
                <w:b/>
                <w:spacing w:val="-2"/>
                <w:sz w:val="16"/>
              </w:rPr>
              <w:t>1.339.345,10</w:t>
            </w:r>
          </w:p>
        </w:tc>
        <w:tc>
          <w:tcPr>
            <w:tcW w:w="1247" w:type="dxa"/>
          </w:tcPr>
          <w:p>
            <w:pPr>
              <w:pStyle w:val="TableParagraph"/>
              <w:spacing w:before="103"/>
              <w:ind w:right="48"/>
              <w:jc w:val="right"/>
              <w:rPr>
                <w:b/>
                <w:sz w:val="16"/>
              </w:rPr>
            </w:pPr>
            <w:r>
              <w:rPr>
                <w:b/>
                <w:spacing w:val="-2"/>
                <w:sz w:val="16"/>
              </w:rPr>
              <w:t>883.986,32</w:t>
            </w:r>
          </w:p>
        </w:tc>
        <w:tc>
          <w:tcPr>
            <w:tcW w:w="1135" w:type="dxa"/>
          </w:tcPr>
          <w:p>
            <w:pPr>
              <w:pStyle w:val="TableParagraph"/>
              <w:spacing w:before="103"/>
              <w:ind w:right="50"/>
              <w:jc w:val="right"/>
              <w:rPr>
                <w:b/>
                <w:sz w:val="16"/>
              </w:rPr>
            </w:pPr>
            <w:r>
              <w:rPr>
                <w:b/>
                <w:spacing w:val="-2"/>
                <w:sz w:val="16"/>
              </w:rPr>
              <w:t>1.147.785,70</w:t>
            </w:r>
          </w:p>
        </w:tc>
        <w:tc>
          <w:tcPr>
            <w:tcW w:w="1135" w:type="dxa"/>
          </w:tcPr>
          <w:p>
            <w:pPr>
              <w:pStyle w:val="TableParagraph"/>
              <w:spacing w:before="103"/>
              <w:ind w:right="51"/>
              <w:jc w:val="right"/>
              <w:rPr>
                <w:b/>
                <w:sz w:val="16"/>
              </w:rPr>
            </w:pPr>
            <w:r>
              <w:rPr>
                <w:b/>
                <w:spacing w:val="-2"/>
                <w:sz w:val="16"/>
              </w:rPr>
              <w:t>1.712.084,42</w:t>
            </w:r>
          </w:p>
        </w:tc>
        <w:tc>
          <w:tcPr>
            <w:tcW w:w="1344" w:type="dxa"/>
          </w:tcPr>
          <w:p>
            <w:pPr>
              <w:pStyle w:val="TableParagraph"/>
              <w:spacing w:before="103"/>
              <w:ind w:right="52"/>
              <w:jc w:val="right"/>
              <w:rPr>
                <w:b/>
                <w:sz w:val="16"/>
              </w:rPr>
            </w:pPr>
            <w:r>
              <w:rPr>
                <w:b/>
                <w:spacing w:val="-2"/>
                <w:sz w:val="16"/>
              </w:rPr>
              <w:t>5.083.201,54</w:t>
            </w:r>
          </w:p>
        </w:tc>
      </w:tr>
    </w:tbl>
    <w:p>
      <w:pPr>
        <w:pStyle w:val="BodyText"/>
        <w:spacing w:before="13"/>
      </w:pPr>
    </w:p>
    <w:p>
      <w:pPr>
        <w:pStyle w:val="BodyText"/>
        <w:spacing w:line="247" w:lineRule="auto"/>
        <w:ind w:left="995" w:right="843"/>
        <w:jc w:val="both"/>
      </w:pPr>
      <w:r>
        <w:rPr/>
        <w:t>El</w:t>
      </w:r>
      <w:r>
        <w:rPr>
          <w:spacing w:val="-14"/>
        </w:rPr>
        <w:t> </w:t>
      </w:r>
      <w:r>
        <w:rPr/>
        <w:t>mencionado</w:t>
      </w:r>
      <w:r>
        <w:rPr>
          <w:spacing w:val="-14"/>
        </w:rPr>
        <w:t> </w:t>
      </w:r>
      <w:r>
        <w:rPr/>
        <w:t>Convenio</w:t>
      </w:r>
      <w:r>
        <w:rPr>
          <w:spacing w:val="-14"/>
        </w:rPr>
        <w:t> </w:t>
      </w:r>
      <w:r>
        <w:rPr/>
        <w:t>se</w:t>
      </w:r>
      <w:r>
        <w:rPr>
          <w:spacing w:val="-13"/>
        </w:rPr>
        <w:t> </w:t>
      </w:r>
      <w:r>
        <w:rPr/>
        <w:t>publica</w:t>
      </w:r>
      <w:r>
        <w:rPr>
          <w:spacing w:val="-14"/>
        </w:rPr>
        <w:t> </w:t>
      </w:r>
      <w:r>
        <w:rPr/>
        <w:t>el</w:t>
      </w:r>
      <w:r>
        <w:rPr>
          <w:spacing w:val="-14"/>
        </w:rPr>
        <w:t> </w:t>
      </w:r>
      <w:r>
        <w:rPr/>
        <w:t>5</w:t>
      </w:r>
      <w:r>
        <w:rPr>
          <w:spacing w:val="-14"/>
        </w:rPr>
        <w:t> </w:t>
      </w:r>
      <w:r>
        <w:rPr/>
        <w:t>de</w:t>
      </w:r>
      <w:r>
        <w:rPr>
          <w:spacing w:val="-13"/>
        </w:rPr>
        <w:t> </w:t>
      </w:r>
      <w:r>
        <w:rPr/>
        <w:t>agosto</w:t>
      </w:r>
      <w:r>
        <w:rPr>
          <w:spacing w:val="-14"/>
        </w:rPr>
        <w:t> </w:t>
      </w:r>
      <w:r>
        <w:rPr/>
        <w:t>de</w:t>
      </w:r>
      <w:r>
        <w:rPr>
          <w:spacing w:val="-14"/>
        </w:rPr>
        <w:t> </w:t>
      </w:r>
      <w:r>
        <w:rPr/>
        <w:t>2020</w:t>
      </w:r>
      <w:r>
        <w:rPr>
          <w:spacing w:val="-14"/>
        </w:rPr>
        <w:t> </w:t>
      </w:r>
      <w:r>
        <w:rPr/>
        <w:t>en</w:t>
      </w:r>
      <w:r>
        <w:rPr>
          <w:spacing w:val="-13"/>
        </w:rPr>
        <w:t> </w:t>
      </w:r>
      <w:r>
        <w:rPr/>
        <w:t>el</w:t>
      </w:r>
      <w:r>
        <w:rPr>
          <w:spacing w:val="-14"/>
        </w:rPr>
        <w:t> </w:t>
      </w:r>
      <w:r>
        <w:rPr/>
        <w:t>Boletín</w:t>
      </w:r>
      <w:r>
        <w:rPr>
          <w:spacing w:val="-14"/>
        </w:rPr>
        <w:t> </w:t>
      </w:r>
      <w:r>
        <w:rPr/>
        <w:t>Oficial</w:t>
      </w:r>
      <w:r>
        <w:rPr>
          <w:spacing w:val="-14"/>
        </w:rPr>
        <w:t> </w:t>
      </w:r>
      <w:r>
        <w:rPr/>
        <w:t>de</w:t>
      </w:r>
      <w:r>
        <w:rPr>
          <w:spacing w:val="-13"/>
        </w:rPr>
        <w:t> </w:t>
      </w:r>
      <w:r>
        <w:rPr/>
        <w:t>la</w:t>
      </w:r>
      <w:r>
        <w:rPr>
          <w:spacing w:val="-14"/>
        </w:rPr>
        <w:t> </w:t>
      </w:r>
      <w:r>
        <w:rPr/>
        <w:t>Región</w:t>
      </w:r>
      <w:r>
        <w:rPr>
          <w:spacing w:val="-14"/>
        </w:rPr>
        <w:t> </w:t>
      </w:r>
      <w:r>
        <w:rPr/>
        <w:t>de</w:t>
      </w:r>
      <w:r>
        <w:rPr>
          <w:spacing w:val="-14"/>
        </w:rPr>
        <w:t> </w:t>
      </w:r>
      <w:r>
        <w:rPr/>
        <w:t>Murcia (nº 180), celebrándose el 8 de octubre del mismo año la reunión de la Comisión de Seguimiento de este en la que, principalmente, se presenta a los miembros integrantes de dicha Comisión la planificación</w:t>
      </w:r>
      <w:r>
        <w:rPr>
          <w:spacing w:val="-1"/>
        </w:rPr>
        <w:t> </w:t>
      </w:r>
      <w:r>
        <w:rPr/>
        <w:t>estimada de los trabajos prioritarios y</w:t>
      </w:r>
      <w:r>
        <w:rPr>
          <w:spacing w:val="-1"/>
        </w:rPr>
        <w:t> </w:t>
      </w:r>
      <w:r>
        <w:rPr/>
        <w:t>se acuerda la delegación de la</w:t>
      </w:r>
      <w:r>
        <w:rPr>
          <w:spacing w:val="-1"/>
        </w:rPr>
        <w:t> </w:t>
      </w:r>
      <w:r>
        <w:rPr/>
        <w:t>ejecución de</w:t>
      </w:r>
      <w:r>
        <w:rPr>
          <w:spacing w:val="-2"/>
        </w:rPr>
        <w:t> </w:t>
      </w:r>
      <w:r>
        <w:rPr/>
        <w:t>estos, habiendo sido aprobado el encargo por el Ayuntamiento de Murcia con fecha 27 de noviembre de </w:t>
      </w:r>
      <w:r>
        <w:rPr>
          <w:spacing w:val="-2"/>
        </w:rPr>
        <w:t>2020.</w:t>
      </w:r>
    </w:p>
    <w:p>
      <w:pPr>
        <w:pStyle w:val="BodyText"/>
        <w:spacing w:before="6"/>
      </w:pPr>
    </w:p>
    <w:p>
      <w:pPr>
        <w:pStyle w:val="BodyText"/>
        <w:spacing w:line="247" w:lineRule="auto"/>
        <w:ind w:left="995" w:right="907"/>
        <w:jc w:val="both"/>
      </w:pPr>
      <w:r>
        <w:rPr/>
        <w:t>Con fecha 16 de septiembre de 2024, y como consecuencia de la finalización de la vigencia del Convenio</w:t>
      </w:r>
      <w:r>
        <w:rPr>
          <w:spacing w:val="-14"/>
        </w:rPr>
        <w:t> </w:t>
      </w:r>
      <w:r>
        <w:rPr/>
        <w:t>formalizado</w:t>
      </w:r>
      <w:r>
        <w:rPr>
          <w:spacing w:val="-14"/>
        </w:rPr>
        <w:t> </w:t>
      </w:r>
      <w:r>
        <w:rPr/>
        <w:t>entre</w:t>
      </w:r>
      <w:r>
        <w:rPr>
          <w:spacing w:val="-14"/>
        </w:rPr>
        <w:t> </w:t>
      </w:r>
      <w:r>
        <w:rPr/>
        <w:t>la</w:t>
      </w:r>
      <w:r>
        <w:rPr>
          <w:spacing w:val="-13"/>
        </w:rPr>
        <w:t> </w:t>
      </w:r>
      <w:r>
        <w:rPr/>
        <w:t>Sociedad</w:t>
      </w:r>
      <w:r>
        <w:rPr>
          <w:spacing w:val="-14"/>
        </w:rPr>
        <w:t> </w:t>
      </w:r>
      <w:r>
        <w:rPr/>
        <w:t>Murcia</w:t>
      </w:r>
      <w:r>
        <w:rPr>
          <w:spacing w:val="-14"/>
        </w:rPr>
        <w:t> </w:t>
      </w:r>
      <w:r>
        <w:rPr/>
        <w:t>Alta</w:t>
      </w:r>
      <w:r>
        <w:rPr>
          <w:spacing w:val="-14"/>
        </w:rPr>
        <w:t> </w:t>
      </w:r>
      <w:r>
        <w:rPr/>
        <w:t>Velocidad,</w:t>
      </w:r>
      <w:r>
        <w:rPr>
          <w:spacing w:val="-13"/>
        </w:rPr>
        <w:t> </w:t>
      </w:r>
      <w:r>
        <w:rPr/>
        <w:t>S.A.</w:t>
      </w:r>
      <w:r>
        <w:rPr>
          <w:spacing w:val="-14"/>
        </w:rPr>
        <w:t> </w:t>
      </w:r>
      <w:r>
        <w:rPr/>
        <w:t>y</w:t>
      </w:r>
      <w:r>
        <w:rPr>
          <w:spacing w:val="-14"/>
        </w:rPr>
        <w:t> </w:t>
      </w:r>
      <w:r>
        <w:rPr/>
        <w:t>el</w:t>
      </w:r>
      <w:r>
        <w:rPr>
          <w:spacing w:val="-14"/>
        </w:rPr>
        <w:t> </w:t>
      </w:r>
      <w:r>
        <w:rPr/>
        <w:t>Ayuntamiento</w:t>
      </w:r>
      <w:r>
        <w:rPr>
          <w:spacing w:val="-13"/>
        </w:rPr>
        <w:t> </w:t>
      </w:r>
      <w:r>
        <w:rPr/>
        <w:t>de</w:t>
      </w:r>
      <w:r>
        <w:rPr>
          <w:spacing w:val="-14"/>
        </w:rPr>
        <w:t> </w:t>
      </w:r>
      <w:r>
        <w:rPr/>
        <w:t>Murcia</w:t>
      </w:r>
      <w:r>
        <w:rPr>
          <w:spacing w:val="-14"/>
        </w:rPr>
        <w:t> </w:t>
      </w:r>
      <w:r>
        <w:rPr/>
        <w:t>de 13 de julio de 2020, el Consejo de Administración aprobó un nuevo Convenio entre Murcia Alta Velocidad,</w:t>
      </w:r>
      <w:r>
        <w:rPr>
          <w:spacing w:val="-1"/>
        </w:rPr>
        <w:t> </w:t>
      </w:r>
      <w:r>
        <w:rPr/>
        <w:t>S.A.</w:t>
      </w:r>
      <w:r>
        <w:rPr>
          <w:spacing w:val="-1"/>
        </w:rPr>
        <w:t> </w:t>
      </w:r>
      <w:r>
        <w:rPr/>
        <w:t>y</w:t>
      </w:r>
      <w:r>
        <w:rPr>
          <w:spacing w:val="-1"/>
        </w:rPr>
        <w:t> </w:t>
      </w:r>
      <w:r>
        <w:rPr/>
        <w:t>el Ayuntamiento de</w:t>
      </w:r>
      <w:r>
        <w:rPr>
          <w:spacing w:val="-1"/>
        </w:rPr>
        <w:t> </w:t>
      </w:r>
      <w:r>
        <w:rPr/>
        <w:t>Murcia</w:t>
      </w:r>
      <w:r>
        <w:rPr>
          <w:spacing w:val="-2"/>
        </w:rPr>
        <w:t> </w:t>
      </w:r>
      <w:r>
        <w:rPr/>
        <w:t>para</w:t>
      </w:r>
      <w:r>
        <w:rPr>
          <w:spacing w:val="-3"/>
        </w:rPr>
        <w:t> </w:t>
      </w:r>
      <w:r>
        <w:rPr/>
        <w:t>la</w:t>
      </w:r>
      <w:r>
        <w:rPr>
          <w:spacing w:val="-1"/>
        </w:rPr>
        <w:t> </w:t>
      </w:r>
      <w:r>
        <w:rPr/>
        <w:t>financiación y</w:t>
      </w:r>
      <w:r>
        <w:rPr>
          <w:spacing w:val="-1"/>
        </w:rPr>
        <w:t> </w:t>
      </w:r>
      <w:r>
        <w:rPr/>
        <w:t>desarrollo</w:t>
      </w:r>
      <w:r>
        <w:rPr>
          <w:spacing w:val="-1"/>
        </w:rPr>
        <w:t> </w:t>
      </w:r>
      <w:r>
        <w:rPr/>
        <w:t>de</w:t>
      </w:r>
      <w:r>
        <w:rPr>
          <w:spacing w:val="-4"/>
        </w:rPr>
        <w:t> </w:t>
      </w:r>
      <w:r>
        <w:rPr/>
        <w:t>las</w:t>
      </w:r>
      <w:r>
        <w:rPr>
          <w:spacing w:val="-1"/>
        </w:rPr>
        <w:t> </w:t>
      </w:r>
      <w:r>
        <w:rPr/>
        <w:t>actuaciones</w:t>
      </w:r>
      <w:r>
        <w:rPr>
          <w:spacing w:val="-2"/>
        </w:rPr>
        <w:t> </w:t>
      </w:r>
      <w:r>
        <w:rPr/>
        <w:t>de planeamiento, gestión urbanística y de urbanización pendientes de inicio, así como los trabajos de </w:t>
      </w:r>
      <w:r>
        <w:rPr>
          <w:spacing w:val="-2"/>
        </w:rPr>
        <w:t>Dirección</w:t>
      </w:r>
      <w:r>
        <w:rPr>
          <w:spacing w:val="-6"/>
        </w:rPr>
        <w:t> </w:t>
      </w:r>
      <w:r>
        <w:rPr>
          <w:spacing w:val="-2"/>
        </w:rPr>
        <w:t>Facultativa</w:t>
      </w:r>
      <w:r>
        <w:rPr>
          <w:spacing w:val="-7"/>
        </w:rPr>
        <w:t> </w:t>
      </w:r>
      <w:r>
        <w:rPr>
          <w:spacing w:val="-2"/>
        </w:rPr>
        <w:t>y</w:t>
      </w:r>
      <w:r>
        <w:rPr>
          <w:spacing w:val="-7"/>
        </w:rPr>
        <w:t> </w:t>
      </w:r>
      <w:r>
        <w:rPr>
          <w:spacing w:val="-2"/>
        </w:rPr>
        <w:t>de</w:t>
      </w:r>
      <w:r>
        <w:rPr>
          <w:spacing w:val="-9"/>
        </w:rPr>
        <w:t> </w:t>
      </w:r>
      <w:r>
        <w:rPr>
          <w:spacing w:val="-2"/>
        </w:rPr>
        <w:t>Coordinación</w:t>
      </w:r>
      <w:r>
        <w:rPr>
          <w:spacing w:val="-5"/>
        </w:rPr>
        <w:t> </w:t>
      </w:r>
      <w:r>
        <w:rPr>
          <w:spacing w:val="-2"/>
        </w:rPr>
        <w:t>de</w:t>
      </w:r>
      <w:r>
        <w:rPr>
          <w:spacing w:val="-9"/>
        </w:rPr>
        <w:t> </w:t>
      </w:r>
      <w:r>
        <w:rPr>
          <w:spacing w:val="-2"/>
        </w:rPr>
        <w:t>Seguridad</w:t>
      </w:r>
      <w:r>
        <w:rPr>
          <w:spacing w:val="-8"/>
        </w:rPr>
        <w:t> </w:t>
      </w:r>
      <w:r>
        <w:rPr>
          <w:spacing w:val="-2"/>
        </w:rPr>
        <w:t>y</w:t>
      </w:r>
      <w:r>
        <w:rPr>
          <w:spacing w:val="-4"/>
        </w:rPr>
        <w:t> </w:t>
      </w:r>
      <w:r>
        <w:rPr>
          <w:spacing w:val="-2"/>
        </w:rPr>
        <w:t>Salud</w:t>
      </w:r>
      <w:r>
        <w:rPr>
          <w:spacing w:val="-9"/>
        </w:rPr>
        <w:t> </w:t>
      </w:r>
      <w:r>
        <w:rPr>
          <w:spacing w:val="-2"/>
        </w:rPr>
        <w:t>de</w:t>
      </w:r>
      <w:r>
        <w:rPr>
          <w:spacing w:val="-8"/>
        </w:rPr>
        <w:t> </w:t>
      </w:r>
      <w:r>
        <w:rPr>
          <w:spacing w:val="-2"/>
        </w:rPr>
        <w:t>las</w:t>
      </w:r>
      <w:r>
        <w:rPr>
          <w:spacing w:val="-8"/>
        </w:rPr>
        <w:t> </w:t>
      </w:r>
      <w:r>
        <w:rPr>
          <w:spacing w:val="-2"/>
        </w:rPr>
        <w:t>obras</w:t>
      </w:r>
      <w:r>
        <w:rPr>
          <w:spacing w:val="-6"/>
        </w:rPr>
        <w:t> </w:t>
      </w:r>
      <w:r>
        <w:rPr>
          <w:spacing w:val="-2"/>
        </w:rPr>
        <w:t>de</w:t>
      </w:r>
      <w:r>
        <w:rPr>
          <w:spacing w:val="-7"/>
        </w:rPr>
        <w:t> </w:t>
      </w:r>
      <w:r>
        <w:rPr>
          <w:spacing w:val="-2"/>
        </w:rPr>
        <w:t>urbanización</w:t>
      </w:r>
      <w:r>
        <w:rPr>
          <w:spacing w:val="-6"/>
        </w:rPr>
        <w:t> </w:t>
      </w:r>
      <w:r>
        <w:rPr>
          <w:spacing w:val="-2"/>
        </w:rPr>
        <w:t>del</w:t>
      </w:r>
      <w:r>
        <w:rPr>
          <w:spacing w:val="-7"/>
        </w:rPr>
        <w:t> </w:t>
      </w:r>
      <w:r>
        <w:rPr>
          <w:spacing w:val="-2"/>
        </w:rPr>
        <w:t>ámbito</w:t>
      </w:r>
    </w:p>
    <w:p>
      <w:pPr>
        <w:pStyle w:val="BodyText"/>
        <w:spacing w:after="0" w:line="247" w:lineRule="auto"/>
        <w:jc w:val="both"/>
        <w:sectPr>
          <w:pgSz w:w="11910" w:h="16840"/>
          <w:pgMar w:header="694" w:footer="690" w:top="1920" w:bottom="880" w:left="708" w:right="425"/>
        </w:sectPr>
      </w:pPr>
    </w:p>
    <w:p>
      <w:pPr>
        <w:pStyle w:val="BodyText"/>
        <w:spacing w:line="247" w:lineRule="auto" w:before="187"/>
        <w:ind w:left="995" w:right="906"/>
        <w:jc w:val="both"/>
      </w:pPr>
      <w:r>
        <w:rPr/>
        <w:t>PC-Mc10,</w:t>
      </w:r>
      <w:r>
        <w:rPr>
          <w:spacing w:val="-14"/>
        </w:rPr>
        <w:t> </w:t>
      </w:r>
      <w:r>
        <w:rPr/>
        <w:t>incluidas</w:t>
      </w:r>
      <w:r>
        <w:rPr>
          <w:spacing w:val="-14"/>
        </w:rPr>
        <w:t> </w:t>
      </w:r>
      <w:r>
        <w:rPr/>
        <w:t>aquellas</w:t>
      </w:r>
      <w:r>
        <w:rPr>
          <w:spacing w:val="-14"/>
        </w:rPr>
        <w:t> </w:t>
      </w:r>
      <w:r>
        <w:rPr/>
        <w:t>que</w:t>
      </w:r>
      <w:r>
        <w:rPr>
          <w:spacing w:val="-13"/>
        </w:rPr>
        <w:t> </w:t>
      </w:r>
      <w:r>
        <w:rPr/>
        <w:t>resulten</w:t>
      </w:r>
      <w:r>
        <w:rPr>
          <w:spacing w:val="-14"/>
        </w:rPr>
        <w:t> </w:t>
      </w:r>
      <w:r>
        <w:rPr/>
        <w:t>complementarias</w:t>
      </w:r>
      <w:r>
        <w:rPr>
          <w:spacing w:val="-14"/>
        </w:rPr>
        <w:t> </w:t>
      </w:r>
      <w:r>
        <w:rPr/>
        <w:t>al</w:t>
      </w:r>
      <w:r>
        <w:rPr>
          <w:spacing w:val="-14"/>
        </w:rPr>
        <w:t> </w:t>
      </w:r>
      <w:r>
        <w:rPr/>
        <w:t>mismo;</w:t>
      </w:r>
      <w:r>
        <w:rPr>
          <w:spacing w:val="-13"/>
        </w:rPr>
        <w:t> </w:t>
      </w:r>
      <w:r>
        <w:rPr/>
        <w:t>para</w:t>
      </w:r>
      <w:r>
        <w:rPr>
          <w:spacing w:val="-14"/>
        </w:rPr>
        <w:t> </w:t>
      </w:r>
      <w:r>
        <w:rPr/>
        <w:t>la</w:t>
      </w:r>
      <w:r>
        <w:rPr>
          <w:spacing w:val="-14"/>
        </w:rPr>
        <w:t> </w:t>
      </w:r>
      <w:r>
        <w:rPr/>
        <w:t>ejecución</w:t>
      </w:r>
      <w:r>
        <w:rPr>
          <w:spacing w:val="-14"/>
        </w:rPr>
        <w:t> </w:t>
      </w:r>
      <w:r>
        <w:rPr/>
        <w:t>de</w:t>
      </w:r>
      <w:r>
        <w:rPr>
          <w:spacing w:val="-13"/>
        </w:rPr>
        <w:t> </w:t>
      </w:r>
      <w:r>
        <w:rPr/>
        <w:t>las</w:t>
      </w:r>
      <w:r>
        <w:rPr>
          <w:spacing w:val="-14"/>
        </w:rPr>
        <w:t> </w:t>
      </w:r>
      <w:r>
        <w:rPr/>
        <w:t>obras</w:t>
      </w:r>
      <w:r>
        <w:rPr>
          <w:spacing w:val="-14"/>
        </w:rPr>
        <w:t> </w:t>
      </w:r>
      <w:r>
        <w:rPr/>
        <w:t>de tratamiento</w:t>
      </w:r>
      <w:r>
        <w:rPr>
          <w:spacing w:val="-8"/>
        </w:rPr>
        <w:t> </w:t>
      </w:r>
      <w:r>
        <w:rPr/>
        <w:t>de</w:t>
      </w:r>
      <w:r>
        <w:rPr>
          <w:spacing w:val="-10"/>
        </w:rPr>
        <w:t> </w:t>
      </w:r>
      <w:r>
        <w:rPr/>
        <w:t>superficie</w:t>
      </w:r>
      <w:r>
        <w:rPr>
          <w:spacing w:val="-9"/>
        </w:rPr>
        <w:t> </w:t>
      </w:r>
      <w:r>
        <w:rPr/>
        <w:t>correspondientes</w:t>
      </w:r>
      <w:r>
        <w:rPr>
          <w:spacing w:val="-9"/>
        </w:rPr>
        <w:t> </w:t>
      </w:r>
      <w:r>
        <w:rPr/>
        <w:t>a</w:t>
      </w:r>
      <w:r>
        <w:rPr>
          <w:spacing w:val="-10"/>
        </w:rPr>
        <w:t> </w:t>
      </w:r>
      <w:r>
        <w:rPr/>
        <w:t>la</w:t>
      </w:r>
      <w:r>
        <w:rPr>
          <w:spacing w:val="-10"/>
        </w:rPr>
        <w:t> </w:t>
      </w:r>
      <w:r>
        <w:rPr/>
        <w:t>Fase</w:t>
      </w:r>
      <w:r>
        <w:rPr>
          <w:spacing w:val="-10"/>
        </w:rPr>
        <w:t> </w:t>
      </w:r>
      <w:r>
        <w:rPr/>
        <w:t>0,</w:t>
      </w:r>
      <w:r>
        <w:rPr>
          <w:spacing w:val="-10"/>
        </w:rPr>
        <w:t> </w:t>
      </w:r>
      <w:r>
        <w:rPr/>
        <w:t>dentro</w:t>
      </w:r>
      <w:r>
        <w:rPr>
          <w:spacing w:val="-9"/>
        </w:rPr>
        <w:t> </w:t>
      </w:r>
      <w:r>
        <w:rPr/>
        <w:t>del</w:t>
      </w:r>
      <w:r>
        <w:rPr>
          <w:spacing w:val="-9"/>
        </w:rPr>
        <w:t> </w:t>
      </w:r>
      <w:r>
        <w:rPr/>
        <w:t>ámbito</w:t>
      </w:r>
      <w:r>
        <w:rPr>
          <w:spacing w:val="-8"/>
        </w:rPr>
        <w:t> </w:t>
      </w:r>
      <w:r>
        <w:rPr/>
        <w:t>de</w:t>
      </w:r>
      <w:r>
        <w:rPr>
          <w:spacing w:val="-10"/>
        </w:rPr>
        <w:t> </w:t>
      </w:r>
      <w:r>
        <w:rPr/>
        <w:t>integración</w:t>
      </w:r>
      <w:r>
        <w:rPr>
          <w:spacing w:val="-7"/>
        </w:rPr>
        <w:t> </w:t>
      </w:r>
      <w:r>
        <w:rPr/>
        <w:t>del</w:t>
      </w:r>
      <w:r>
        <w:rPr>
          <w:spacing w:val="-9"/>
        </w:rPr>
        <w:t> </w:t>
      </w:r>
      <w:r>
        <w:rPr/>
        <w:t>ferrocarril en la ciudad de Murcia y del proyecto de la Estación de Autobuses, su control de calidad, Dirección Facultativa y Coordinación de Seguridad y Salud, en cumplimiento de los fines de la Adenda modificativa del Convenio de 22 de junio de 2006. Este Convenio se publica en el BORM nº241 de fecha</w:t>
      </w:r>
      <w:r>
        <w:rPr>
          <w:spacing w:val="-7"/>
        </w:rPr>
        <w:t> </w:t>
      </w:r>
      <w:r>
        <w:rPr/>
        <w:t>16</w:t>
      </w:r>
      <w:r>
        <w:rPr>
          <w:spacing w:val="-6"/>
        </w:rPr>
        <w:t> </w:t>
      </w:r>
      <w:r>
        <w:rPr/>
        <w:t>de</w:t>
      </w:r>
      <w:r>
        <w:rPr>
          <w:spacing w:val="-8"/>
        </w:rPr>
        <w:t> </w:t>
      </w:r>
      <w:r>
        <w:rPr/>
        <w:t>octubre</w:t>
      </w:r>
      <w:r>
        <w:rPr>
          <w:spacing w:val="-7"/>
        </w:rPr>
        <w:t> </w:t>
      </w:r>
      <w:r>
        <w:rPr/>
        <w:t>de</w:t>
      </w:r>
      <w:r>
        <w:rPr>
          <w:spacing w:val="-7"/>
        </w:rPr>
        <w:t> </w:t>
      </w:r>
      <w:r>
        <w:rPr/>
        <w:t>2024.</w:t>
      </w:r>
      <w:r>
        <w:rPr>
          <w:spacing w:val="-4"/>
        </w:rPr>
        <w:t> </w:t>
      </w:r>
      <w:r>
        <w:rPr/>
        <w:t>Asimismo,</w:t>
      </w:r>
      <w:r>
        <w:rPr>
          <w:spacing w:val="-6"/>
        </w:rPr>
        <w:t> </w:t>
      </w:r>
      <w:r>
        <w:rPr/>
        <w:t>en</w:t>
      </w:r>
      <w:r>
        <w:rPr>
          <w:spacing w:val="-6"/>
        </w:rPr>
        <w:t> </w:t>
      </w:r>
      <w:r>
        <w:rPr/>
        <w:t>la</w:t>
      </w:r>
      <w:r>
        <w:rPr>
          <w:spacing w:val="-7"/>
        </w:rPr>
        <w:t> </w:t>
      </w:r>
      <w:r>
        <w:rPr/>
        <w:t>Comisión</w:t>
      </w:r>
      <w:r>
        <w:rPr>
          <w:spacing w:val="-7"/>
        </w:rPr>
        <w:t> </w:t>
      </w:r>
      <w:r>
        <w:rPr/>
        <w:t>de</w:t>
      </w:r>
      <w:r>
        <w:rPr>
          <w:spacing w:val="-7"/>
        </w:rPr>
        <w:t> </w:t>
      </w:r>
      <w:r>
        <w:rPr/>
        <w:t>Seguimiento</w:t>
      </w:r>
      <w:r>
        <w:rPr>
          <w:spacing w:val="-5"/>
        </w:rPr>
        <w:t> </w:t>
      </w:r>
      <w:r>
        <w:rPr/>
        <w:t>del</w:t>
      </w:r>
      <w:r>
        <w:rPr>
          <w:spacing w:val="-6"/>
        </w:rPr>
        <w:t> </w:t>
      </w:r>
      <w:r>
        <w:rPr/>
        <w:t>Convenio</w:t>
      </w:r>
      <w:r>
        <w:rPr>
          <w:spacing w:val="-6"/>
        </w:rPr>
        <w:t> </w:t>
      </w:r>
      <w:r>
        <w:rPr/>
        <w:t>suscrito</w:t>
      </w:r>
      <w:r>
        <w:rPr>
          <w:spacing w:val="-7"/>
        </w:rPr>
        <w:t> </w:t>
      </w:r>
      <w:r>
        <w:rPr/>
        <w:t>con</w:t>
      </w:r>
      <w:r>
        <w:rPr>
          <w:spacing w:val="-6"/>
        </w:rPr>
        <w:t> </w:t>
      </w:r>
      <w:r>
        <w:rPr/>
        <w:t>el Ayuntamiento de Murcia en 2020, celebrada el 9 de septiembre de 2024, se acordó un plazo de dos años para la finalización de las actuaciones en desarrollo.</w:t>
      </w:r>
    </w:p>
    <w:p>
      <w:pPr>
        <w:pStyle w:val="BodyText"/>
        <w:spacing w:before="174"/>
      </w:pPr>
    </w:p>
    <w:p>
      <w:pPr>
        <w:pStyle w:val="BodyText"/>
        <w:spacing w:line="244" w:lineRule="auto"/>
        <w:ind w:left="995" w:right="909"/>
        <w:jc w:val="both"/>
      </w:pPr>
      <w:r>
        <w:rPr/>
        <w:t>La</w:t>
      </w:r>
      <w:r>
        <w:rPr>
          <w:spacing w:val="-2"/>
        </w:rPr>
        <w:t> </w:t>
      </w:r>
      <w:r>
        <w:rPr/>
        <w:t>planificación económica</w:t>
      </w:r>
      <w:r>
        <w:rPr>
          <w:spacing w:val="-4"/>
        </w:rPr>
        <w:t> </w:t>
      </w:r>
      <w:r>
        <w:rPr/>
        <w:t>de</w:t>
      </w:r>
      <w:r>
        <w:rPr>
          <w:spacing w:val="-2"/>
        </w:rPr>
        <w:t> </w:t>
      </w:r>
      <w:r>
        <w:rPr/>
        <w:t>los</w:t>
      </w:r>
      <w:r>
        <w:rPr>
          <w:spacing w:val="-2"/>
        </w:rPr>
        <w:t> </w:t>
      </w:r>
      <w:r>
        <w:rPr/>
        <w:t>trabajos</w:t>
      </w:r>
      <w:r>
        <w:rPr>
          <w:spacing w:val="-1"/>
        </w:rPr>
        <w:t> </w:t>
      </w:r>
      <w:r>
        <w:rPr/>
        <w:t>objeto</w:t>
      </w:r>
      <w:r>
        <w:rPr>
          <w:spacing w:val="-1"/>
        </w:rPr>
        <w:t> </w:t>
      </w:r>
      <w:r>
        <w:rPr/>
        <w:t>del</w:t>
      </w:r>
      <w:r>
        <w:rPr>
          <w:spacing w:val="-4"/>
        </w:rPr>
        <w:t> </w:t>
      </w:r>
      <w:r>
        <w:rPr/>
        <w:t>Convenio</w:t>
      </w:r>
      <w:r>
        <w:rPr>
          <w:spacing w:val="-1"/>
        </w:rPr>
        <w:t> </w:t>
      </w:r>
      <w:r>
        <w:rPr/>
        <w:t>entre</w:t>
      </w:r>
      <w:r>
        <w:rPr>
          <w:spacing w:val="-2"/>
        </w:rPr>
        <w:t> </w:t>
      </w:r>
      <w:r>
        <w:rPr/>
        <w:t>Murcia</w:t>
      </w:r>
      <w:r>
        <w:rPr>
          <w:spacing w:val="-2"/>
        </w:rPr>
        <w:t> </w:t>
      </w:r>
      <w:r>
        <w:rPr/>
        <w:t>Alta</w:t>
      </w:r>
      <w:r>
        <w:rPr>
          <w:spacing w:val="-2"/>
        </w:rPr>
        <w:t> </w:t>
      </w:r>
      <w:r>
        <w:rPr/>
        <w:t>Velocidad, S.A.</w:t>
      </w:r>
      <w:r>
        <w:rPr>
          <w:spacing w:val="-1"/>
        </w:rPr>
        <w:t> </w:t>
      </w:r>
      <w:r>
        <w:rPr/>
        <w:t>y Ayuntamiento de Murcia es la siguiente, entendiéndose los costes estimados de las actuaciones descritas como importes máximos.</w:t>
      </w:r>
    </w:p>
    <w:p>
      <w:pPr>
        <w:pStyle w:val="BodyText"/>
        <w:spacing w:before="25"/>
        <w:rPr>
          <w:sz w:val="20"/>
        </w:rPr>
      </w:pPr>
    </w:p>
    <w:tbl>
      <w:tblPr>
        <w:tblW w:w="0" w:type="auto"/>
        <w:jc w:val="left"/>
        <w:tblInd w:w="2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54"/>
        <w:gridCol w:w="843"/>
        <w:gridCol w:w="635"/>
        <w:gridCol w:w="717"/>
      </w:tblGrid>
      <w:tr>
        <w:trPr>
          <w:trHeight w:val="367" w:hRule="atLeast"/>
        </w:trPr>
        <w:tc>
          <w:tcPr>
            <w:tcW w:w="4254" w:type="dxa"/>
          </w:tcPr>
          <w:p>
            <w:pPr>
              <w:pStyle w:val="TableParagraph"/>
              <w:spacing w:before="91"/>
              <w:ind w:left="9"/>
              <w:jc w:val="center"/>
              <w:rPr>
                <w:b/>
                <w:sz w:val="16"/>
              </w:rPr>
            </w:pPr>
            <w:r>
              <w:rPr>
                <w:b/>
                <w:spacing w:val="-2"/>
                <w:w w:val="105"/>
                <w:sz w:val="16"/>
              </w:rPr>
              <w:t>Actuación</w:t>
            </w:r>
          </w:p>
        </w:tc>
        <w:tc>
          <w:tcPr>
            <w:tcW w:w="843" w:type="dxa"/>
          </w:tcPr>
          <w:p>
            <w:pPr>
              <w:pStyle w:val="TableParagraph"/>
              <w:spacing w:line="184" w:lineRule="exact"/>
              <w:ind w:left="71" w:right="57" w:firstLine="190"/>
              <w:rPr>
                <w:b/>
                <w:sz w:val="16"/>
              </w:rPr>
            </w:pPr>
            <w:r>
              <w:rPr>
                <w:b/>
                <w:spacing w:val="-4"/>
                <w:sz w:val="16"/>
              </w:rPr>
              <w:t>Base</w:t>
            </w:r>
            <w:r>
              <w:rPr>
                <w:b/>
                <w:spacing w:val="40"/>
                <w:sz w:val="16"/>
              </w:rPr>
              <w:t> </w:t>
            </w:r>
            <w:r>
              <w:rPr>
                <w:b/>
                <w:spacing w:val="-2"/>
                <w:sz w:val="16"/>
              </w:rPr>
              <w:t>Imponible</w:t>
            </w:r>
          </w:p>
        </w:tc>
        <w:tc>
          <w:tcPr>
            <w:tcW w:w="635" w:type="dxa"/>
          </w:tcPr>
          <w:p>
            <w:pPr>
              <w:pStyle w:val="TableParagraph"/>
              <w:spacing w:before="91"/>
              <w:ind w:left="171"/>
              <w:rPr>
                <w:b/>
                <w:sz w:val="16"/>
              </w:rPr>
            </w:pPr>
            <w:r>
              <w:rPr>
                <w:b/>
                <w:spacing w:val="-5"/>
                <w:w w:val="105"/>
                <w:sz w:val="16"/>
              </w:rPr>
              <w:t>IVA</w:t>
            </w:r>
          </w:p>
        </w:tc>
        <w:tc>
          <w:tcPr>
            <w:tcW w:w="717" w:type="dxa"/>
          </w:tcPr>
          <w:p>
            <w:pPr>
              <w:pStyle w:val="TableParagraph"/>
              <w:spacing w:before="91"/>
              <w:ind w:right="55"/>
              <w:jc w:val="right"/>
              <w:rPr>
                <w:b/>
                <w:sz w:val="16"/>
              </w:rPr>
            </w:pPr>
            <w:r>
              <w:rPr>
                <w:b/>
                <w:spacing w:val="-2"/>
                <w:w w:val="105"/>
                <w:sz w:val="16"/>
              </w:rPr>
              <w:t>TOTAL</w:t>
            </w:r>
          </w:p>
        </w:tc>
      </w:tr>
      <w:tr>
        <w:trPr>
          <w:trHeight w:val="226" w:hRule="atLeast"/>
        </w:trPr>
        <w:tc>
          <w:tcPr>
            <w:tcW w:w="4254" w:type="dxa"/>
          </w:tcPr>
          <w:p>
            <w:pPr>
              <w:pStyle w:val="TableParagraph"/>
              <w:spacing w:before="21"/>
              <w:ind w:left="70"/>
              <w:rPr>
                <w:sz w:val="16"/>
              </w:rPr>
            </w:pPr>
            <w:r>
              <w:rPr>
                <w:sz w:val="16"/>
              </w:rPr>
              <w:t>1.</w:t>
            </w:r>
            <w:r>
              <w:rPr>
                <w:spacing w:val="21"/>
                <w:sz w:val="16"/>
              </w:rPr>
              <w:t> </w:t>
            </w:r>
            <w:r>
              <w:rPr>
                <w:sz w:val="16"/>
              </w:rPr>
              <w:t>Actuaciones</w:t>
            </w:r>
            <w:r>
              <w:rPr>
                <w:spacing w:val="21"/>
                <w:sz w:val="16"/>
              </w:rPr>
              <w:t> </w:t>
            </w:r>
            <w:r>
              <w:rPr>
                <w:sz w:val="16"/>
              </w:rPr>
              <w:t>urbanísticas</w:t>
            </w:r>
            <w:r>
              <w:rPr>
                <w:spacing w:val="23"/>
                <w:sz w:val="16"/>
              </w:rPr>
              <w:t> </w:t>
            </w:r>
            <w:r>
              <w:rPr>
                <w:sz w:val="16"/>
              </w:rPr>
              <w:t>(Estudios,</w:t>
            </w:r>
            <w:r>
              <w:rPr>
                <w:spacing w:val="21"/>
                <w:sz w:val="16"/>
              </w:rPr>
              <w:t> </w:t>
            </w:r>
            <w:r>
              <w:rPr>
                <w:sz w:val="16"/>
              </w:rPr>
              <w:t>proyectos,</w:t>
            </w:r>
            <w:r>
              <w:rPr>
                <w:spacing w:val="21"/>
                <w:sz w:val="16"/>
              </w:rPr>
              <w:t> </w:t>
            </w:r>
            <w:r>
              <w:rPr>
                <w:sz w:val="16"/>
              </w:rPr>
              <w:t>DF,</w:t>
            </w:r>
            <w:r>
              <w:rPr>
                <w:spacing w:val="21"/>
                <w:sz w:val="16"/>
              </w:rPr>
              <w:t> </w:t>
            </w:r>
            <w:r>
              <w:rPr>
                <w:spacing w:val="-2"/>
                <w:sz w:val="16"/>
              </w:rPr>
              <w:t>etc.)</w:t>
            </w:r>
          </w:p>
        </w:tc>
        <w:tc>
          <w:tcPr>
            <w:tcW w:w="843" w:type="dxa"/>
          </w:tcPr>
          <w:p>
            <w:pPr>
              <w:pStyle w:val="TableParagraph"/>
              <w:spacing w:before="21"/>
              <w:ind w:right="54"/>
              <w:jc w:val="right"/>
              <w:rPr>
                <w:sz w:val="16"/>
              </w:rPr>
            </w:pPr>
            <w:r>
              <w:rPr>
                <w:spacing w:val="-4"/>
                <w:w w:val="105"/>
                <w:sz w:val="16"/>
              </w:rPr>
              <w:t>1,50</w:t>
            </w:r>
          </w:p>
        </w:tc>
        <w:tc>
          <w:tcPr>
            <w:tcW w:w="635" w:type="dxa"/>
          </w:tcPr>
          <w:p>
            <w:pPr>
              <w:pStyle w:val="TableParagraph"/>
              <w:spacing w:before="21"/>
              <w:ind w:right="54"/>
              <w:jc w:val="right"/>
              <w:rPr>
                <w:sz w:val="16"/>
              </w:rPr>
            </w:pPr>
            <w:r>
              <w:rPr>
                <w:spacing w:val="-4"/>
                <w:w w:val="105"/>
                <w:sz w:val="16"/>
              </w:rPr>
              <w:t>0,31</w:t>
            </w:r>
          </w:p>
        </w:tc>
        <w:tc>
          <w:tcPr>
            <w:tcW w:w="717" w:type="dxa"/>
          </w:tcPr>
          <w:p>
            <w:pPr>
              <w:pStyle w:val="TableParagraph"/>
              <w:spacing w:before="21"/>
              <w:ind w:right="52"/>
              <w:jc w:val="right"/>
              <w:rPr>
                <w:sz w:val="16"/>
              </w:rPr>
            </w:pPr>
            <w:r>
              <w:rPr>
                <w:spacing w:val="-4"/>
                <w:w w:val="105"/>
                <w:sz w:val="16"/>
              </w:rPr>
              <w:t>1,81</w:t>
            </w:r>
          </w:p>
        </w:tc>
      </w:tr>
      <w:tr>
        <w:trPr>
          <w:trHeight w:val="227" w:hRule="atLeast"/>
        </w:trPr>
        <w:tc>
          <w:tcPr>
            <w:tcW w:w="4254" w:type="dxa"/>
          </w:tcPr>
          <w:p>
            <w:pPr>
              <w:pStyle w:val="TableParagraph"/>
              <w:spacing w:before="22"/>
              <w:ind w:left="1066"/>
              <w:rPr>
                <w:sz w:val="16"/>
              </w:rPr>
            </w:pPr>
            <w:r>
              <w:rPr>
                <w:w w:val="105"/>
                <w:sz w:val="16"/>
              </w:rPr>
              <w:t>Obras</w:t>
            </w:r>
            <w:r>
              <w:rPr>
                <w:spacing w:val="-7"/>
                <w:w w:val="105"/>
                <w:sz w:val="16"/>
              </w:rPr>
              <w:t> </w:t>
            </w:r>
            <w:r>
              <w:rPr>
                <w:w w:val="105"/>
                <w:sz w:val="16"/>
              </w:rPr>
              <w:t>de</w:t>
            </w:r>
            <w:r>
              <w:rPr>
                <w:spacing w:val="-5"/>
                <w:w w:val="105"/>
                <w:sz w:val="16"/>
              </w:rPr>
              <w:t> </w:t>
            </w:r>
            <w:r>
              <w:rPr>
                <w:w w:val="105"/>
                <w:sz w:val="16"/>
              </w:rPr>
              <w:t>Urbanización</w:t>
            </w:r>
            <w:r>
              <w:rPr>
                <w:spacing w:val="-1"/>
                <w:w w:val="105"/>
                <w:sz w:val="16"/>
              </w:rPr>
              <w:t> </w:t>
            </w:r>
            <w:r>
              <w:rPr>
                <w:w w:val="105"/>
                <w:sz w:val="16"/>
              </w:rPr>
              <w:t>-</w:t>
            </w:r>
            <w:r>
              <w:rPr>
                <w:spacing w:val="-4"/>
                <w:w w:val="105"/>
                <w:sz w:val="16"/>
              </w:rPr>
              <w:t> </w:t>
            </w:r>
            <w:r>
              <w:rPr>
                <w:w w:val="105"/>
                <w:sz w:val="16"/>
              </w:rPr>
              <w:t>Fase</w:t>
            </w:r>
            <w:r>
              <w:rPr>
                <w:spacing w:val="-6"/>
                <w:w w:val="105"/>
                <w:sz w:val="16"/>
              </w:rPr>
              <w:t> </w:t>
            </w:r>
            <w:r>
              <w:rPr>
                <w:spacing w:val="-10"/>
                <w:w w:val="105"/>
                <w:sz w:val="16"/>
              </w:rPr>
              <w:t>0</w:t>
            </w:r>
          </w:p>
        </w:tc>
        <w:tc>
          <w:tcPr>
            <w:tcW w:w="843" w:type="dxa"/>
          </w:tcPr>
          <w:p>
            <w:pPr>
              <w:pStyle w:val="TableParagraph"/>
              <w:spacing w:before="22"/>
              <w:ind w:right="56"/>
              <w:jc w:val="right"/>
              <w:rPr>
                <w:sz w:val="16"/>
              </w:rPr>
            </w:pPr>
            <w:r>
              <w:rPr>
                <w:spacing w:val="-4"/>
                <w:w w:val="105"/>
                <w:sz w:val="16"/>
              </w:rPr>
              <w:t>10,27</w:t>
            </w:r>
          </w:p>
        </w:tc>
        <w:tc>
          <w:tcPr>
            <w:tcW w:w="635" w:type="dxa"/>
          </w:tcPr>
          <w:p>
            <w:pPr>
              <w:pStyle w:val="TableParagraph"/>
              <w:spacing w:before="22"/>
              <w:ind w:right="54"/>
              <w:jc w:val="right"/>
              <w:rPr>
                <w:sz w:val="16"/>
              </w:rPr>
            </w:pPr>
            <w:r>
              <w:rPr>
                <w:spacing w:val="-4"/>
                <w:w w:val="105"/>
                <w:sz w:val="16"/>
              </w:rPr>
              <w:t>2,16</w:t>
            </w:r>
          </w:p>
        </w:tc>
        <w:tc>
          <w:tcPr>
            <w:tcW w:w="717" w:type="dxa"/>
          </w:tcPr>
          <w:p>
            <w:pPr>
              <w:pStyle w:val="TableParagraph"/>
              <w:spacing w:before="22"/>
              <w:ind w:right="54"/>
              <w:jc w:val="right"/>
              <w:rPr>
                <w:sz w:val="16"/>
              </w:rPr>
            </w:pPr>
            <w:r>
              <w:rPr>
                <w:spacing w:val="-4"/>
                <w:w w:val="105"/>
                <w:sz w:val="16"/>
              </w:rPr>
              <w:t>12,43</w:t>
            </w:r>
          </w:p>
        </w:tc>
      </w:tr>
      <w:tr>
        <w:trPr>
          <w:trHeight w:val="226" w:hRule="atLeast"/>
        </w:trPr>
        <w:tc>
          <w:tcPr>
            <w:tcW w:w="4254" w:type="dxa"/>
          </w:tcPr>
          <w:p>
            <w:pPr>
              <w:pStyle w:val="TableParagraph"/>
              <w:spacing w:before="21"/>
              <w:ind w:left="428"/>
              <w:rPr>
                <w:sz w:val="16"/>
              </w:rPr>
            </w:pPr>
            <w:r>
              <w:rPr>
                <w:w w:val="105"/>
                <w:sz w:val="16"/>
              </w:rPr>
              <w:t>Proyecto</w:t>
            </w:r>
            <w:r>
              <w:rPr>
                <w:spacing w:val="-5"/>
                <w:w w:val="105"/>
                <w:sz w:val="16"/>
              </w:rPr>
              <w:t> </w:t>
            </w:r>
            <w:r>
              <w:rPr>
                <w:w w:val="105"/>
                <w:sz w:val="16"/>
              </w:rPr>
              <w:t>de</w:t>
            </w:r>
            <w:r>
              <w:rPr>
                <w:spacing w:val="-5"/>
                <w:w w:val="105"/>
                <w:sz w:val="16"/>
              </w:rPr>
              <w:t> </w:t>
            </w:r>
            <w:r>
              <w:rPr>
                <w:w w:val="105"/>
                <w:sz w:val="16"/>
              </w:rPr>
              <w:t>Estación</w:t>
            </w:r>
            <w:r>
              <w:rPr>
                <w:spacing w:val="-4"/>
                <w:w w:val="105"/>
                <w:sz w:val="16"/>
              </w:rPr>
              <w:t> </w:t>
            </w:r>
            <w:r>
              <w:rPr>
                <w:w w:val="105"/>
                <w:sz w:val="16"/>
              </w:rPr>
              <w:t>de</w:t>
            </w:r>
            <w:r>
              <w:rPr>
                <w:spacing w:val="-5"/>
                <w:w w:val="105"/>
                <w:sz w:val="16"/>
              </w:rPr>
              <w:t> </w:t>
            </w:r>
            <w:r>
              <w:rPr>
                <w:w w:val="105"/>
                <w:sz w:val="16"/>
              </w:rPr>
              <w:t>Autobuses,</w:t>
            </w:r>
            <w:r>
              <w:rPr>
                <w:spacing w:val="-5"/>
                <w:w w:val="105"/>
                <w:sz w:val="16"/>
              </w:rPr>
              <w:t> </w:t>
            </w:r>
            <w:r>
              <w:rPr>
                <w:w w:val="105"/>
                <w:sz w:val="16"/>
              </w:rPr>
              <w:t>DF</w:t>
            </w:r>
            <w:r>
              <w:rPr>
                <w:spacing w:val="-4"/>
                <w:w w:val="105"/>
                <w:sz w:val="16"/>
              </w:rPr>
              <w:t> </w:t>
            </w:r>
            <w:r>
              <w:rPr>
                <w:w w:val="105"/>
                <w:sz w:val="16"/>
              </w:rPr>
              <w:t>y</w:t>
            </w:r>
            <w:r>
              <w:rPr>
                <w:spacing w:val="-3"/>
                <w:w w:val="105"/>
                <w:sz w:val="16"/>
              </w:rPr>
              <w:t> </w:t>
            </w:r>
            <w:r>
              <w:rPr>
                <w:spacing w:val="-2"/>
                <w:w w:val="105"/>
                <w:sz w:val="16"/>
              </w:rPr>
              <w:t>SySalud</w:t>
            </w:r>
          </w:p>
        </w:tc>
        <w:tc>
          <w:tcPr>
            <w:tcW w:w="843" w:type="dxa"/>
          </w:tcPr>
          <w:p>
            <w:pPr>
              <w:pStyle w:val="TableParagraph"/>
              <w:spacing w:before="21"/>
              <w:ind w:right="54"/>
              <w:jc w:val="right"/>
              <w:rPr>
                <w:sz w:val="16"/>
              </w:rPr>
            </w:pPr>
            <w:r>
              <w:rPr>
                <w:spacing w:val="-4"/>
                <w:w w:val="105"/>
                <w:sz w:val="16"/>
              </w:rPr>
              <w:t>1,04</w:t>
            </w:r>
          </w:p>
        </w:tc>
        <w:tc>
          <w:tcPr>
            <w:tcW w:w="635" w:type="dxa"/>
          </w:tcPr>
          <w:p>
            <w:pPr>
              <w:pStyle w:val="TableParagraph"/>
              <w:spacing w:before="21"/>
              <w:ind w:right="54"/>
              <w:jc w:val="right"/>
              <w:rPr>
                <w:sz w:val="16"/>
              </w:rPr>
            </w:pPr>
            <w:r>
              <w:rPr>
                <w:spacing w:val="-4"/>
                <w:w w:val="105"/>
                <w:sz w:val="16"/>
              </w:rPr>
              <w:t>0,22</w:t>
            </w:r>
          </w:p>
        </w:tc>
        <w:tc>
          <w:tcPr>
            <w:tcW w:w="717" w:type="dxa"/>
          </w:tcPr>
          <w:p>
            <w:pPr>
              <w:pStyle w:val="TableParagraph"/>
              <w:spacing w:before="21"/>
              <w:ind w:right="52"/>
              <w:jc w:val="right"/>
              <w:rPr>
                <w:sz w:val="16"/>
              </w:rPr>
            </w:pPr>
            <w:r>
              <w:rPr>
                <w:spacing w:val="-4"/>
                <w:w w:val="105"/>
                <w:sz w:val="16"/>
              </w:rPr>
              <w:t>1,26</w:t>
            </w:r>
          </w:p>
        </w:tc>
      </w:tr>
      <w:tr>
        <w:trPr>
          <w:trHeight w:val="227" w:hRule="atLeast"/>
        </w:trPr>
        <w:tc>
          <w:tcPr>
            <w:tcW w:w="4254" w:type="dxa"/>
          </w:tcPr>
          <w:p>
            <w:pPr>
              <w:pStyle w:val="TableParagraph"/>
              <w:spacing w:before="22"/>
              <w:ind w:left="9" w:right="4"/>
              <w:jc w:val="center"/>
              <w:rPr>
                <w:b/>
                <w:sz w:val="16"/>
              </w:rPr>
            </w:pPr>
            <w:r>
              <w:rPr>
                <w:b/>
                <w:w w:val="105"/>
                <w:sz w:val="16"/>
              </w:rPr>
              <w:t>COSTE</w:t>
            </w:r>
            <w:r>
              <w:rPr>
                <w:b/>
                <w:spacing w:val="-6"/>
                <w:w w:val="105"/>
                <w:sz w:val="16"/>
              </w:rPr>
              <w:t> </w:t>
            </w:r>
            <w:r>
              <w:rPr>
                <w:b/>
                <w:spacing w:val="-2"/>
                <w:w w:val="105"/>
                <w:sz w:val="16"/>
              </w:rPr>
              <w:t>TOTAL</w:t>
            </w:r>
          </w:p>
        </w:tc>
        <w:tc>
          <w:tcPr>
            <w:tcW w:w="843" w:type="dxa"/>
          </w:tcPr>
          <w:p>
            <w:pPr>
              <w:pStyle w:val="TableParagraph"/>
              <w:spacing w:before="22"/>
              <w:ind w:right="56"/>
              <w:jc w:val="right"/>
              <w:rPr>
                <w:b/>
                <w:sz w:val="16"/>
              </w:rPr>
            </w:pPr>
            <w:r>
              <w:rPr>
                <w:b/>
                <w:spacing w:val="-4"/>
                <w:w w:val="105"/>
                <w:sz w:val="16"/>
              </w:rPr>
              <w:t>12,81</w:t>
            </w:r>
          </w:p>
        </w:tc>
        <w:tc>
          <w:tcPr>
            <w:tcW w:w="635" w:type="dxa"/>
          </w:tcPr>
          <w:p>
            <w:pPr>
              <w:pStyle w:val="TableParagraph"/>
              <w:spacing w:before="22"/>
              <w:ind w:right="56"/>
              <w:jc w:val="right"/>
              <w:rPr>
                <w:b/>
                <w:sz w:val="16"/>
              </w:rPr>
            </w:pPr>
            <w:r>
              <w:rPr>
                <w:b/>
                <w:spacing w:val="-4"/>
                <w:sz w:val="16"/>
              </w:rPr>
              <w:t>2,69</w:t>
            </w:r>
          </w:p>
        </w:tc>
        <w:tc>
          <w:tcPr>
            <w:tcW w:w="717" w:type="dxa"/>
          </w:tcPr>
          <w:p>
            <w:pPr>
              <w:pStyle w:val="TableParagraph"/>
              <w:spacing w:before="22"/>
              <w:ind w:right="54"/>
              <w:jc w:val="right"/>
              <w:rPr>
                <w:b/>
                <w:sz w:val="16"/>
              </w:rPr>
            </w:pPr>
            <w:r>
              <w:rPr>
                <w:b/>
                <w:spacing w:val="-2"/>
                <w:sz w:val="16"/>
              </w:rPr>
              <w:t>15,50</w:t>
            </w:r>
          </w:p>
        </w:tc>
      </w:tr>
    </w:tbl>
    <w:p>
      <w:pPr>
        <w:spacing w:before="3"/>
        <w:ind w:left="2552" w:right="0" w:firstLine="0"/>
        <w:jc w:val="left"/>
        <w:rPr>
          <w:i/>
          <w:sz w:val="15"/>
        </w:rPr>
      </w:pPr>
      <w:r>
        <w:rPr>
          <w:i/>
          <w:w w:val="105"/>
          <w:sz w:val="15"/>
        </w:rPr>
        <w:t>(*)</w:t>
      </w:r>
      <w:r>
        <w:rPr>
          <w:i/>
          <w:spacing w:val="-8"/>
          <w:w w:val="105"/>
          <w:sz w:val="15"/>
        </w:rPr>
        <w:t> </w:t>
      </w:r>
      <w:r>
        <w:rPr>
          <w:i/>
          <w:w w:val="105"/>
          <w:sz w:val="15"/>
        </w:rPr>
        <w:t>cifras</w:t>
      </w:r>
      <w:r>
        <w:rPr>
          <w:i/>
          <w:spacing w:val="-8"/>
          <w:w w:val="105"/>
          <w:sz w:val="15"/>
        </w:rPr>
        <w:t> </w:t>
      </w:r>
      <w:r>
        <w:rPr>
          <w:i/>
          <w:w w:val="105"/>
          <w:sz w:val="15"/>
        </w:rPr>
        <w:t>expresadas</w:t>
      </w:r>
      <w:r>
        <w:rPr>
          <w:i/>
          <w:spacing w:val="-8"/>
          <w:w w:val="105"/>
          <w:sz w:val="15"/>
        </w:rPr>
        <w:t> </w:t>
      </w:r>
      <w:r>
        <w:rPr>
          <w:i/>
          <w:w w:val="105"/>
          <w:sz w:val="15"/>
        </w:rPr>
        <w:t>en</w:t>
      </w:r>
      <w:r>
        <w:rPr>
          <w:i/>
          <w:spacing w:val="-6"/>
          <w:w w:val="105"/>
          <w:sz w:val="15"/>
        </w:rPr>
        <w:t> </w:t>
      </w:r>
      <w:r>
        <w:rPr>
          <w:i/>
          <w:w w:val="105"/>
          <w:sz w:val="15"/>
        </w:rPr>
        <w:t>millones</w:t>
      </w:r>
      <w:r>
        <w:rPr>
          <w:i/>
          <w:spacing w:val="-8"/>
          <w:w w:val="105"/>
          <w:sz w:val="15"/>
        </w:rPr>
        <w:t> </w:t>
      </w:r>
      <w:r>
        <w:rPr>
          <w:i/>
          <w:w w:val="105"/>
          <w:sz w:val="15"/>
        </w:rPr>
        <w:t>de</w:t>
      </w:r>
      <w:r>
        <w:rPr>
          <w:i/>
          <w:spacing w:val="-8"/>
          <w:w w:val="105"/>
          <w:sz w:val="15"/>
        </w:rPr>
        <w:t> </w:t>
      </w:r>
      <w:r>
        <w:rPr>
          <w:i/>
          <w:spacing w:val="-2"/>
          <w:w w:val="105"/>
          <w:sz w:val="15"/>
        </w:rPr>
        <w:t>euros</w:t>
      </w:r>
    </w:p>
    <w:p>
      <w:pPr>
        <w:pStyle w:val="BodyText"/>
        <w:spacing w:before="113"/>
        <w:rPr>
          <w:i/>
          <w:sz w:val="15"/>
        </w:rPr>
      </w:pPr>
    </w:p>
    <w:p>
      <w:pPr>
        <w:pStyle w:val="BodyText"/>
        <w:ind w:left="995"/>
        <w:jc w:val="both"/>
      </w:pPr>
      <w:r>
        <w:rPr>
          <w:spacing w:val="-4"/>
        </w:rPr>
        <w:t>Los</w:t>
      </w:r>
      <w:r>
        <w:rPr>
          <w:spacing w:val="-5"/>
        </w:rPr>
        <w:t> </w:t>
      </w:r>
      <w:r>
        <w:rPr>
          <w:spacing w:val="-4"/>
        </w:rPr>
        <w:t>compromisos</w:t>
      </w:r>
      <w:r>
        <w:rPr>
          <w:spacing w:val="-3"/>
        </w:rPr>
        <w:t> </w:t>
      </w:r>
      <w:r>
        <w:rPr>
          <w:spacing w:val="-4"/>
        </w:rPr>
        <w:t>económicos</w:t>
      </w:r>
      <w:r>
        <w:rPr>
          <w:spacing w:val="-2"/>
        </w:rPr>
        <w:t> </w:t>
      </w:r>
      <w:r>
        <w:rPr>
          <w:spacing w:val="-4"/>
        </w:rPr>
        <w:t>se</w:t>
      </w:r>
      <w:r>
        <w:rPr>
          <w:spacing w:val="-2"/>
        </w:rPr>
        <w:t> </w:t>
      </w:r>
      <w:r>
        <w:rPr>
          <w:spacing w:val="-4"/>
        </w:rPr>
        <w:t>han</w:t>
      </w:r>
      <w:r>
        <w:rPr>
          <w:spacing w:val="-2"/>
        </w:rPr>
        <w:t> </w:t>
      </w:r>
      <w:r>
        <w:rPr>
          <w:spacing w:val="-4"/>
        </w:rPr>
        <w:t>distribuido</w:t>
      </w:r>
      <w:r>
        <w:rPr>
          <w:spacing w:val="-1"/>
        </w:rPr>
        <w:t> </w:t>
      </w:r>
      <w:r>
        <w:rPr>
          <w:spacing w:val="-4"/>
        </w:rPr>
        <w:t>en</w:t>
      </w:r>
      <w:r>
        <w:rPr>
          <w:spacing w:val="-3"/>
        </w:rPr>
        <w:t> </w:t>
      </w:r>
      <w:r>
        <w:rPr>
          <w:spacing w:val="-4"/>
        </w:rPr>
        <w:t>las</w:t>
      </w:r>
      <w:r>
        <w:rPr>
          <w:spacing w:val="-3"/>
        </w:rPr>
        <w:t> </w:t>
      </w:r>
      <w:r>
        <w:rPr>
          <w:spacing w:val="-4"/>
        </w:rPr>
        <w:t>siguientes</w:t>
      </w:r>
      <w:r>
        <w:rPr>
          <w:spacing w:val="-2"/>
        </w:rPr>
        <w:t> </w:t>
      </w:r>
      <w:r>
        <w:rPr>
          <w:spacing w:val="-4"/>
        </w:rPr>
        <w:t>anualidades:</w:t>
      </w:r>
    </w:p>
    <w:p>
      <w:pPr>
        <w:pStyle w:val="BodyText"/>
        <w:spacing w:before="23" w:after="1"/>
        <w:rPr>
          <w:sz w:val="20"/>
        </w:rPr>
      </w:pPr>
    </w:p>
    <w:tbl>
      <w:tblPr>
        <w:tblW w:w="0" w:type="auto"/>
        <w:jc w:val="left"/>
        <w:tblInd w:w="1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9"/>
        <w:gridCol w:w="843"/>
        <w:gridCol w:w="842"/>
        <w:gridCol w:w="844"/>
        <w:gridCol w:w="844"/>
        <w:gridCol w:w="938"/>
      </w:tblGrid>
      <w:tr>
        <w:trPr>
          <w:trHeight w:val="245" w:hRule="atLeast"/>
        </w:trPr>
        <w:tc>
          <w:tcPr>
            <w:tcW w:w="3969" w:type="dxa"/>
          </w:tcPr>
          <w:p>
            <w:pPr>
              <w:pStyle w:val="TableParagraph"/>
              <w:spacing w:before="30"/>
              <w:ind w:left="8"/>
              <w:jc w:val="center"/>
              <w:rPr>
                <w:b/>
                <w:sz w:val="16"/>
              </w:rPr>
            </w:pPr>
            <w:r>
              <w:rPr>
                <w:b/>
                <w:spacing w:val="-2"/>
                <w:sz w:val="16"/>
              </w:rPr>
              <w:t>Actuación</w:t>
            </w:r>
          </w:p>
        </w:tc>
        <w:tc>
          <w:tcPr>
            <w:tcW w:w="843" w:type="dxa"/>
          </w:tcPr>
          <w:p>
            <w:pPr>
              <w:pStyle w:val="TableParagraph"/>
              <w:spacing w:before="30"/>
              <w:ind w:left="390"/>
              <w:rPr>
                <w:b/>
                <w:sz w:val="16"/>
              </w:rPr>
            </w:pPr>
            <w:r>
              <w:rPr>
                <w:b/>
                <w:spacing w:val="-4"/>
                <w:sz w:val="16"/>
              </w:rPr>
              <w:t>2025</w:t>
            </w:r>
          </w:p>
        </w:tc>
        <w:tc>
          <w:tcPr>
            <w:tcW w:w="842" w:type="dxa"/>
          </w:tcPr>
          <w:p>
            <w:pPr>
              <w:pStyle w:val="TableParagraph"/>
              <w:spacing w:before="30"/>
              <w:ind w:left="390"/>
              <w:rPr>
                <w:b/>
                <w:sz w:val="16"/>
              </w:rPr>
            </w:pPr>
            <w:r>
              <w:rPr>
                <w:b/>
                <w:spacing w:val="-4"/>
                <w:sz w:val="16"/>
              </w:rPr>
              <w:t>2026</w:t>
            </w:r>
          </w:p>
        </w:tc>
        <w:tc>
          <w:tcPr>
            <w:tcW w:w="844" w:type="dxa"/>
          </w:tcPr>
          <w:p>
            <w:pPr>
              <w:pStyle w:val="TableParagraph"/>
              <w:spacing w:before="30"/>
              <w:ind w:left="390"/>
              <w:rPr>
                <w:b/>
                <w:sz w:val="16"/>
              </w:rPr>
            </w:pPr>
            <w:r>
              <w:rPr>
                <w:b/>
                <w:spacing w:val="-4"/>
                <w:sz w:val="16"/>
              </w:rPr>
              <w:t>2027</w:t>
            </w:r>
          </w:p>
        </w:tc>
        <w:tc>
          <w:tcPr>
            <w:tcW w:w="844" w:type="dxa"/>
          </w:tcPr>
          <w:p>
            <w:pPr>
              <w:pStyle w:val="TableParagraph"/>
              <w:spacing w:before="30"/>
              <w:ind w:right="122"/>
              <w:jc w:val="right"/>
              <w:rPr>
                <w:b/>
                <w:sz w:val="16"/>
              </w:rPr>
            </w:pPr>
            <w:r>
              <w:rPr>
                <w:b/>
                <w:spacing w:val="-4"/>
                <w:sz w:val="16"/>
              </w:rPr>
              <w:t>2028</w:t>
            </w:r>
          </w:p>
        </w:tc>
        <w:tc>
          <w:tcPr>
            <w:tcW w:w="938" w:type="dxa"/>
          </w:tcPr>
          <w:p>
            <w:pPr>
              <w:pStyle w:val="TableParagraph"/>
              <w:spacing w:before="30"/>
              <w:ind w:left="225"/>
              <w:rPr>
                <w:b/>
                <w:sz w:val="16"/>
              </w:rPr>
            </w:pPr>
            <w:r>
              <w:rPr>
                <w:b/>
                <w:spacing w:val="-2"/>
                <w:sz w:val="16"/>
              </w:rPr>
              <w:t>TOTAL</w:t>
            </w:r>
          </w:p>
        </w:tc>
      </w:tr>
      <w:tr>
        <w:trPr>
          <w:trHeight w:val="246" w:hRule="atLeast"/>
        </w:trPr>
        <w:tc>
          <w:tcPr>
            <w:tcW w:w="3969" w:type="dxa"/>
          </w:tcPr>
          <w:p>
            <w:pPr>
              <w:pStyle w:val="TableParagraph"/>
              <w:spacing w:before="31"/>
              <w:ind w:left="70"/>
              <w:rPr>
                <w:sz w:val="16"/>
              </w:rPr>
            </w:pPr>
            <w:r>
              <w:rPr>
                <w:sz w:val="16"/>
              </w:rPr>
              <w:t>1.</w:t>
            </w:r>
            <w:r>
              <w:rPr>
                <w:spacing w:val="-8"/>
                <w:sz w:val="16"/>
              </w:rPr>
              <w:t> </w:t>
            </w:r>
            <w:r>
              <w:rPr>
                <w:sz w:val="16"/>
              </w:rPr>
              <w:t>Actuaciones</w:t>
            </w:r>
            <w:r>
              <w:rPr>
                <w:spacing w:val="-8"/>
                <w:sz w:val="16"/>
              </w:rPr>
              <w:t> </w:t>
            </w:r>
            <w:r>
              <w:rPr>
                <w:sz w:val="16"/>
              </w:rPr>
              <w:t>urbanísticas</w:t>
            </w:r>
            <w:r>
              <w:rPr>
                <w:spacing w:val="-7"/>
                <w:sz w:val="16"/>
              </w:rPr>
              <w:t> </w:t>
            </w:r>
            <w:r>
              <w:rPr>
                <w:sz w:val="16"/>
              </w:rPr>
              <w:t>(Estudios,</w:t>
            </w:r>
            <w:r>
              <w:rPr>
                <w:spacing w:val="-7"/>
                <w:sz w:val="16"/>
              </w:rPr>
              <w:t> </w:t>
            </w:r>
            <w:r>
              <w:rPr>
                <w:sz w:val="16"/>
              </w:rPr>
              <w:t>proyectos,</w:t>
            </w:r>
            <w:r>
              <w:rPr>
                <w:spacing w:val="-8"/>
                <w:sz w:val="16"/>
              </w:rPr>
              <w:t> </w:t>
            </w:r>
            <w:r>
              <w:rPr>
                <w:sz w:val="16"/>
              </w:rPr>
              <w:t>DF,</w:t>
            </w:r>
            <w:r>
              <w:rPr>
                <w:spacing w:val="-7"/>
                <w:sz w:val="16"/>
              </w:rPr>
              <w:t> </w:t>
            </w:r>
            <w:r>
              <w:rPr>
                <w:spacing w:val="-2"/>
                <w:sz w:val="16"/>
              </w:rPr>
              <w:t>etc.)</w:t>
            </w:r>
          </w:p>
        </w:tc>
        <w:tc>
          <w:tcPr>
            <w:tcW w:w="843" w:type="dxa"/>
          </w:tcPr>
          <w:p>
            <w:pPr>
              <w:pStyle w:val="TableParagraph"/>
              <w:spacing w:before="31"/>
              <w:ind w:right="59"/>
              <w:jc w:val="right"/>
              <w:rPr>
                <w:sz w:val="16"/>
              </w:rPr>
            </w:pPr>
            <w:r>
              <w:rPr>
                <w:spacing w:val="-4"/>
                <w:sz w:val="16"/>
              </w:rPr>
              <w:t>0,27</w:t>
            </w:r>
          </w:p>
        </w:tc>
        <w:tc>
          <w:tcPr>
            <w:tcW w:w="842" w:type="dxa"/>
          </w:tcPr>
          <w:p>
            <w:pPr>
              <w:pStyle w:val="TableParagraph"/>
              <w:spacing w:before="31"/>
              <w:ind w:right="59"/>
              <w:jc w:val="right"/>
              <w:rPr>
                <w:sz w:val="16"/>
              </w:rPr>
            </w:pPr>
            <w:r>
              <w:rPr>
                <w:spacing w:val="-4"/>
                <w:sz w:val="16"/>
              </w:rPr>
              <w:t>0,48</w:t>
            </w:r>
          </w:p>
        </w:tc>
        <w:tc>
          <w:tcPr>
            <w:tcW w:w="844" w:type="dxa"/>
          </w:tcPr>
          <w:p>
            <w:pPr>
              <w:pStyle w:val="TableParagraph"/>
              <w:spacing w:before="31"/>
              <w:ind w:right="60"/>
              <w:jc w:val="right"/>
              <w:rPr>
                <w:sz w:val="16"/>
              </w:rPr>
            </w:pPr>
            <w:r>
              <w:rPr>
                <w:spacing w:val="-4"/>
                <w:sz w:val="16"/>
              </w:rPr>
              <w:t>0,95</w:t>
            </w:r>
          </w:p>
        </w:tc>
        <w:tc>
          <w:tcPr>
            <w:tcW w:w="844" w:type="dxa"/>
          </w:tcPr>
          <w:p>
            <w:pPr>
              <w:pStyle w:val="TableParagraph"/>
              <w:spacing w:before="31"/>
              <w:ind w:right="63"/>
              <w:jc w:val="right"/>
              <w:rPr>
                <w:sz w:val="16"/>
              </w:rPr>
            </w:pPr>
            <w:r>
              <w:rPr>
                <w:spacing w:val="-4"/>
                <w:sz w:val="16"/>
              </w:rPr>
              <w:t>0,11</w:t>
            </w:r>
          </w:p>
        </w:tc>
        <w:tc>
          <w:tcPr>
            <w:tcW w:w="938" w:type="dxa"/>
          </w:tcPr>
          <w:p>
            <w:pPr>
              <w:pStyle w:val="TableParagraph"/>
              <w:spacing w:before="31"/>
              <w:ind w:right="65"/>
              <w:jc w:val="right"/>
              <w:rPr>
                <w:sz w:val="16"/>
              </w:rPr>
            </w:pPr>
            <w:r>
              <w:rPr>
                <w:spacing w:val="-4"/>
                <w:sz w:val="16"/>
              </w:rPr>
              <w:t>1,81</w:t>
            </w:r>
          </w:p>
        </w:tc>
      </w:tr>
      <w:tr>
        <w:trPr>
          <w:trHeight w:val="245" w:hRule="atLeast"/>
        </w:trPr>
        <w:tc>
          <w:tcPr>
            <w:tcW w:w="3969" w:type="dxa"/>
          </w:tcPr>
          <w:p>
            <w:pPr>
              <w:pStyle w:val="TableParagraph"/>
              <w:spacing w:before="30"/>
              <w:ind w:left="8" w:right="1"/>
              <w:jc w:val="center"/>
              <w:rPr>
                <w:sz w:val="16"/>
              </w:rPr>
            </w:pPr>
            <w:r>
              <w:rPr>
                <w:sz w:val="16"/>
              </w:rPr>
              <w:t>Obras</w:t>
            </w:r>
            <w:r>
              <w:rPr>
                <w:spacing w:val="-5"/>
                <w:sz w:val="16"/>
              </w:rPr>
              <w:t> </w:t>
            </w:r>
            <w:r>
              <w:rPr>
                <w:sz w:val="16"/>
              </w:rPr>
              <w:t>de</w:t>
            </w:r>
            <w:r>
              <w:rPr>
                <w:spacing w:val="-5"/>
                <w:sz w:val="16"/>
              </w:rPr>
              <w:t> </w:t>
            </w:r>
            <w:r>
              <w:rPr>
                <w:sz w:val="16"/>
              </w:rPr>
              <w:t>Urbanización</w:t>
            </w:r>
            <w:r>
              <w:rPr>
                <w:spacing w:val="-3"/>
                <w:sz w:val="16"/>
              </w:rPr>
              <w:t> </w:t>
            </w:r>
            <w:r>
              <w:rPr>
                <w:sz w:val="16"/>
              </w:rPr>
              <w:t>-</w:t>
            </w:r>
            <w:r>
              <w:rPr>
                <w:spacing w:val="-5"/>
                <w:sz w:val="16"/>
              </w:rPr>
              <w:t> </w:t>
            </w:r>
            <w:r>
              <w:rPr>
                <w:sz w:val="16"/>
              </w:rPr>
              <w:t>Fase</w:t>
            </w:r>
            <w:r>
              <w:rPr>
                <w:spacing w:val="-5"/>
                <w:sz w:val="16"/>
              </w:rPr>
              <w:t> </w:t>
            </w:r>
            <w:r>
              <w:rPr>
                <w:spacing w:val="-10"/>
                <w:sz w:val="16"/>
              </w:rPr>
              <w:t>0</w:t>
            </w:r>
          </w:p>
        </w:tc>
        <w:tc>
          <w:tcPr>
            <w:tcW w:w="843" w:type="dxa"/>
          </w:tcPr>
          <w:p>
            <w:pPr>
              <w:pStyle w:val="TableParagraph"/>
              <w:spacing w:before="30"/>
              <w:ind w:right="59"/>
              <w:jc w:val="right"/>
              <w:rPr>
                <w:sz w:val="16"/>
              </w:rPr>
            </w:pPr>
            <w:r>
              <w:rPr>
                <w:spacing w:val="-4"/>
                <w:sz w:val="16"/>
              </w:rPr>
              <w:t>3,73</w:t>
            </w:r>
          </w:p>
        </w:tc>
        <w:tc>
          <w:tcPr>
            <w:tcW w:w="842" w:type="dxa"/>
          </w:tcPr>
          <w:p>
            <w:pPr>
              <w:pStyle w:val="TableParagraph"/>
              <w:spacing w:before="30"/>
              <w:ind w:right="59"/>
              <w:jc w:val="right"/>
              <w:rPr>
                <w:sz w:val="16"/>
              </w:rPr>
            </w:pPr>
            <w:r>
              <w:rPr>
                <w:spacing w:val="-4"/>
                <w:sz w:val="16"/>
              </w:rPr>
              <w:t>8,70</w:t>
            </w:r>
          </w:p>
        </w:tc>
        <w:tc>
          <w:tcPr>
            <w:tcW w:w="844" w:type="dxa"/>
          </w:tcPr>
          <w:p>
            <w:pPr>
              <w:pStyle w:val="TableParagraph"/>
              <w:spacing w:before="30"/>
              <w:ind w:right="60"/>
              <w:jc w:val="right"/>
              <w:rPr>
                <w:sz w:val="16"/>
              </w:rPr>
            </w:pPr>
            <w:r>
              <w:rPr>
                <w:spacing w:val="-4"/>
                <w:sz w:val="16"/>
              </w:rPr>
              <w:t>0,00</w:t>
            </w:r>
          </w:p>
        </w:tc>
        <w:tc>
          <w:tcPr>
            <w:tcW w:w="844" w:type="dxa"/>
          </w:tcPr>
          <w:p>
            <w:pPr>
              <w:pStyle w:val="TableParagraph"/>
              <w:spacing w:before="30"/>
              <w:ind w:right="63"/>
              <w:jc w:val="right"/>
              <w:rPr>
                <w:sz w:val="16"/>
              </w:rPr>
            </w:pPr>
            <w:r>
              <w:rPr>
                <w:spacing w:val="-4"/>
                <w:sz w:val="16"/>
              </w:rPr>
              <w:t>0,00</w:t>
            </w:r>
          </w:p>
        </w:tc>
        <w:tc>
          <w:tcPr>
            <w:tcW w:w="938" w:type="dxa"/>
          </w:tcPr>
          <w:p>
            <w:pPr>
              <w:pStyle w:val="TableParagraph"/>
              <w:spacing w:before="30"/>
              <w:ind w:right="65"/>
              <w:jc w:val="right"/>
              <w:rPr>
                <w:sz w:val="16"/>
              </w:rPr>
            </w:pPr>
            <w:r>
              <w:rPr>
                <w:spacing w:val="-2"/>
                <w:sz w:val="16"/>
              </w:rPr>
              <w:t>12,43</w:t>
            </w:r>
          </w:p>
        </w:tc>
      </w:tr>
      <w:tr>
        <w:trPr>
          <w:trHeight w:val="245" w:hRule="atLeast"/>
        </w:trPr>
        <w:tc>
          <w:tcPr>
            <w:tcW w:w="3969" w:type="dxa"/>
          </w:tcPr>
          <w:p>
            <w:pPr>
              <w:pStyle w:val="TableParagraph"/>
              <w:spacing w:before="30"/>
              <w:ind w:left="8" w:right="2"/>
              <w:jc w:val="center"/>
              <w:rPr>
                <w:sz w:val="16"/>
              </w:rPr>
            </w:pPr>
            <w:r>
              <w:rPr>
                <w:sz w:val="16"/>
              </w:rPr>
              <w:t>Proyecto</w:t>
            </w:r>
            <w:r>
              <w:rPr>
                <w:spacing w:val="-4"/>
                <w:sz w:val="16"/>
              </w:rPr>
              <w:t> </w:t>
            </w:r>
            <w:r>
              <w:rPr>
                <w:sz w:val="16"/>
              </w:rPr>
              <w:t>de</w:t>
            </w:r>
            <w:r>
              <w:rPr>
                <w:spacing w:val="-5"/>
                <w:sz w:val="16"/>
              </w:rPr>
              <w:t> </w:t>
            </w:r>
            <w:r>
              <w:rPr>
                <w:sz w:val="16"/>
              </w:rPr>
              <w:t>Estación</w:t>
            </w:r>
            <w:r>
              <w:rPr>
                <w:spacing w:val="-4"/>
                <w:sz w:val="16"/>
              </w:rPr>
              <w:t> </w:t>
            </w:r>
            <w:r>
              <w:rPr>
                <w:sz w:val="16"/>
              </w:rPr>
              <w:t>de</w:t>
            </w:r>
            <w:r>
              <w:rPr>
                <w:spacing w:val="-5"/>
                <w:sz w:val="16"/>
              </w:rPr>
              <w:t> </w:t>
            </w:r>
            <w:r>
              <w:rPr>
                <w:sz w:val="16"/>
              </w:rPr>
              <w:t>Autobuses,</w:t>
            </w:r>
            <w:r>
              <w:rPr>
                <w:spacing w:val="-6"/>
                <w:sz w:val="16"/>
              </w:rPr>
              <w:t> </w:t>
            </w:r>
            <w:r>
              <w:rPr>
                <w:sz w:val="16"/>
              </w:rPr>
              <w:t>DF</w:t>
            </w:r>
            <w:r>
              <w:rPr>
                <w:spacing w:val="-5"/>
                <w:sz w:val="16"/>
              </w:rPr>
              <w:t> </w:t>
            </w:r>
            <w:r>
              <w:rPr>
                <w:sz w:val="16"/>
              </w:rPr>
              <w:t>y</w:t>
            </w:r>
            <w:r>
              <w:rPr>
                <w:spacing w:val="-5"/>
                <w:sz w:val="16"/>
              </w:rPr>
              <w:t> </w:t>
            </w:r>
            <w:r>
              <w:rPr>
                <w:spacing w:val="-2"/>
                <w:sz w:val="16"/>
              </w:rPr>
              <w:t>SySalud</w:t>
            </w:r>
          </w:p>
        </w:tc>
        <w:tc>
          <w:tcPr>
            <w:tcW w:w="843" w:type="dxa"/>
          </w:tcPr>
          <w:p>
            <w:pPr>
              <w:pStyle w:val="TableParagraph"/>
              <w:spacing w:before="30"/>
              <w:ind w:right="59"/>
              <w:jc w:val="right"/>
              <w:rPr>
                <w:sz w:val="16"/>
              </w:rPr>
            </w:pPr>
            <w:r>
              <w:rPr>
                <w:spacing w:val="-4"/>
                <w:sz w:val="16"/>
              </w:rPr>
              <w:t>0,57</w:t>
            </w:r>
          </w:p>
        </w:tc>
        <w:tc>
          <w:tcPr>
            <w:tcW w:w="842" w:type="dxa"/>
          </w:tcPr>
          <w:p>
            <w:pPr>
              <w:pStyle w:val="TableParagraph"/>
              <w:spacing w:before="30"/>
              <w:ind w:right="59"/>
              <w:jc w:val="right"/>
              <w:rPr>
                <w:sz w:val="16"/>
              </w:rPr>
            </w:pPr>
            <w:r>
              <w:rPr>
                <w:spacing w:val="-4"/>
                <w:sz w:val="16"/>
              </w:rPr>
              <w:t>0,31</w:t>
            </w:r>
          </w:p>
        </w:tc>
        <w:tc>
          <w:tcPr>
            <w:tcW w:w="844" w:type="dxa"/>
          </w:tcPr>
          <w:p>
            <w:pPr>
              <w:pStyle w:val="TableParagraph"/>
              <w:spacing w:before="30"/>
              <w:ind w:right="60"/>
              <w:jc w:val="right"/>
              <w:rPr>
                <w:sz w:val="16"/>
              </w:rPr>
            </w:pPr>
            <w:r>
              <w:rPr>
                <w:spacing w:val="-4"/>
                <w:sz w:val="16"/>
              </w:rPr>
              <w:t>0,19</w:t>
            </w:r>
          </w:p>
        </w:tc>
        <w:tc>
          <w:tcPr>
            <w:tcW w:w="844" w:type="dxa"/>
          </w:tcPr>
          <w:p>
            <w:pPr>
              <w:pStyle w:val="TableParagraph"/>
              <w:spacing w:before="30"/>
              <w:ind w:right="63"/>
              <w:jc w:val="right"/>
              <w:rPr>
                <w:sz w:val="16"/>
              </w:rPr>
            </w:pPr>
            <w:r>
              <w:rPr>
                <w:spacing w:val="-4"/>
                <w:sz w:val="16"/>
              </w:rPr>
              <w:t>0,19</w:t>
            </w:r>
          </w:p>
        </w:tc>
        <w:tc>
          <w:tcPr>
            <w:tcW w:w="938" w:type="dxa"/>
          </w:tcPr>
          <w:p>
            <w:pPr>
              <w:pStyle w:val="TableParagraph"/>
              <w:spacing w:before="30"/>
              <w:ind w:right="65"/>
              <w:jc w:val="right"/>
              <w:rPr>
                <w:sz w:val="16"/>
              </w:rPr>
            </w:pPr>
            <w:r>
              <w:rPr>
                <w:spacing w:val="-4"/>
                <w:sz w:val="16"/>
              </w:rPr>
              <w:t>1,26</w:t>
            </w:r>
          </w:p>
        </w:tc>
      </w:tr>
      <w:tr>
        <w:trPr>
          <w:trHeight w:val="246" w:hRule="atLeast"/>
        </w:trPr>
        <w:tc>
          <w:tcPr>
            <w:tcW w:w="3969" w:type="dxa"/>
          </w:tcPr>
          <w:p>
            <w:pPr>
              <w:pStyle w:val="TableParagraph"/>
              <w:spacing w:before="31"/>
              <w:ind w:left="8"/>
              <w:jc w:val="center"/>
              <w:rPr>
                <w:b/>
                <w:sz w:val="16"/>
              </w:rPr>
            </w:pPr>
            <w:r>
              <w:rPr>
                <w:b/>
                <w:sz w:val="16"/>
              </w:rPr>
              <w:t>COSTE</w:t>
            </w:r>
            <w:r>
              <w:rPr>
                <w:b/>
                <w:spacing w:val="-7"/>
                <w:sz w:val="16"/>
              </w:rPr>
              <w:t> </w:t>
            </w:r>
            <w:r>
              <w:rPr>
                <w:b/>
                <w:spacing w:val="-2"/>
                <w:sz w:val="16"/>
              </w:rPr>
              <w:t>TOTAL</w:t>
            </w:r>
          </w:p>
        </w:tc>
        <w:tc>
          <w:tcPr>
            <w:tcW w:w="843" w:type="dxa"/>
          </w:tcPr>
          <w:p>
            <w:pPr>
              <w:pStyle w:val="TableParagraph"/>
              <w:spacing w:before="31"/>
              <w:ind w:right="59"/>
              <w:jc w:val="right"/>
              <w:rPr>
                <w:b/>
                <w:sz w:val="16"/>
              </w:rPr>
            </w:pPr>
            <w:r>
              <w:rPr>
                <w:b/>
                <w:spacing w:val="-4"/>
                <w:sz w:val="16"/>
              </w:rPr>
              <w:t>4,57</w:t>
            </w:r>
          </w:p>
        </w:tc>
        <w:tc>
          <w:tcPr>
            <w:tcW w:w="842" w:type="dxa"/>
          </w:tcPr>
          <w:p>
            <w:pPr>
              <w:pStyle w:val="TableParagraph"/>
              <w:spacing w:before="31"/>
              <w:ind w:right="59"/>
              <w:jc w:val="right"/>
              <w:rPr>
                <w:b/>
                <w:sz w:val="16"/>
              </w:rPr>
            </w:pPr>
            <w:r>
              <w:rPr>
                <w:b/>
                <w:spacing w:val="-4"/>
                <w:sz w:val="16"/>
              </w:rPr>
              <w:t>9,49</w:t>
            </w:r>
          </w:p>
        </w:tc>
        <w:tc>
          <w:tcPr>
            <w:tcW w:w="844" w:type="dxa"/>
          </w:tcPr>
          <w:p>
            <w:pPr>
              <w:pStyle w:val="TableParagraph"/>
              <w:spacing w:before="31"/>
              <w:ind w:right="60"/>
              <w:jc w:val="right"/>
              <w:rPr>
                <w:b/>
                <w:sz w:val="16"/>
              </w:rPr>
            </w:pPr>
            <w:r>
              <w:rPr>
                <w:b/>
                <w:spacing w:val="-4"/>
                <w:sz w:val="16"/>
              </w:rPr>
              <w:t>1,14</w:t>
            </w:r>
          </w:p>
        </w:tc>
        <w:tc>
          <w:tcPr>
            <w:tcW w:w="844" w:type="dxa"/>
          </w:tcPr>
          <w:p>
            <w:pPr>
              <w:pStyle w:val="TableParagraph"/>
              <w:spacing w:before="31"/>
              <w:ind w:right="63"/>
              <w:jc w:val="right"/>
              <w:rPr>
                <w:b/>
                <w:sz w:val="16"/>
              </w:rPr>
            </w:pPr>
            <w:r>
              <w:rPr>
                <w:b/>
                <w:spacing w:val="-4"/>
                <w:sz w:val="16"/>
              </w:rPr>
              <w:t>0,30</w:t>
            </w:r>
          </w:p>
        </w:tc>
        <w:tc>
          <w:tcPr>
            <w:tcW w:w="938" w:type="dxa"/>
          </w:tcPr>
          <w:p>
            <w:pPr>
              <w:pStyle w:val="TableParagraph"/>
              <w:spacing w:before="31"/>
              <w:ind w:right="65"/>
              <w:jc w:val="right"/>
              <w:rPr>
                <w:b/>
                <w:sz w:val="16"/>
              </w:rPr>
            </w:pPr>
            <w:r>
              <w:rPr>
                <w:b/>
                <w:spacing w:val="-2"/>
                <w:sz w:val="16"/>
              </w:rPr>
              <w:t>15,50</w:t>
            </w:r>
          </w:p>
        </w:tc>
      </w:tr>
    </w:tbl>
    <w:p>
      <w:pPr>
        <w:spacing w:before="3"/>
        <w:ind w:left="1418" w:right="0" w:firstLine="0"/>
        <w:jc w:val="left"/>
        <w:rPr>
          <w:i/>
          <w:sz w:val="15"/>
        </w:rPr>
      </w:pPr>
      <w:r>
        <w:rPr>
          <w:i/>
          <w:w w:val="105"/>
          <w:sz w:val="15"/>
        </w:rPr>
        <w:t>(*)</w:t>
      </w:r>
      <w:r>
        <w:rPr>
          <w:i/>
          <w:spacing w:val="-8"/>
          <w:w w:val="105"/>
          <w:sz w:val="15"/>
        </w:rPr>
        <w:t> </w:t>
      </w:r>
      <w:r>
        <w:rPr>
          <w:i/>
          <w:w w:val="105"/>
          <w:sz w:val="15"/>
        </w:rPr>
        <w:t>cifras</w:t>
      </w:r>
      <w:r>
        <w:rPr>
          <w:i/>
          <w:spacing w:val="-8"/>
          <w:w w:val="105"/>
          <w:sz w:val="15"/>
        </w:rPr>
        <w:t> </w:t>
      </w:r>
      <w:r>
        <w:rPr>
          <w:i/>
          <w:w w:val="105"/>
          <w:sz w:val="15"/>
        </w:rPr>
        <w:t>expresadas</w:t>
      </w:r>
      <w:r>
        <w:rPr>
          <w:i/>
          <w:spacing w:val="-8"/>
          <w:w w:val="105"/>
          <w:sz w:val="15"/>
        </w:rPr>
        <w:t> </w:t>
      </w:r>
      <w:r>
        <w:rPr>
          <w:i/>
          <w:w w:val="105"/>
          <w:sz w:val="15"/>
        </w:rPr>
        <w:t>en</w:t>
      </w:r>
      <w:r>
        <w:rPr>
          <w:i/>
          <w:spacing w:val="-6"/>
          <w:w w:val="105"/>
          <w:sz w:val="15"/>
        </w:rPr>
        <w:t> </w:t>
      </w:r>
      <w:r>
        <w:rPr>
          <w:i/>
          <w:w w:val="105"/>
          <w:sz w:val="15"/>
        </w:rPr>
        <w:t>millones</w:t>
      </w:r>
      <w:r>
        <w:rPr>
          <w:i/>
          <w:spacing w:val="-8"/>
          <w:w w:val="105"/>
          <w:sz w:val="15"/>
        </w:rPr>
        <w:t> </w:t>
      </w:r>
      <w:r>
        <w:rPr>
          <w:i/>
          <w:w w:val="105"/>
          <w:sz w:val="15"/>
        </w:rPr>
        <w:t>de</w:t>
      </w:r>
      <w:r>
        <w:rPr>
          <w:i/>
          <w:spacing w:val="-8"/>
          <w:w w:val="105"/>
          <w:sz w:val="15"/>
        </w:rPr>
        <w:t> </w:t>
      </w:r>
      <w:r>
        <w:rPr>
          <w:i/>
          <w:spacing w:val="-2"/>
          <w:w w:val="105"/>
          <w:sz w:val="15"/>
        </w:rPr>
        <w:t>euros</w:t>
      </w:r>
    </w:p>
    <w:p>
      <w:pPr>
        <w:pStyle w:val="BodyText"/>
        <w:spacing w:before="94"/>
        <w:rPr>
          <w:i/>
          <w:sz w:val="15"/>
        </w:rPr>
      </w:pPr>
    </w:p>
    <w:p>
      <w:pPr>
        <w:pStyle w:val="BodyText"/>
        <w:spacing w:line="244" w:lineRule="auto"/>
        <w:ind w:left="995" w:right="908"/>
        <w:jc w:val="both"/>
      </w:pPr>
      <w:r>
        <w:rPr/>
        <w:t>Con fecha 7 de octubre de 2024, la Comisión Técnica acordó la constitución de la Comisión de Seguimiento del Convenio suscrito entre el Ayuntamiento de Murcia y Murcia Alta Velocidad, S.A. en octubre de 2024.</w:t>
      </w:r>
    </w:p>
    <w:p>
      <w:pPr>
        <w:pStyle w:val="BodyText"/>
        <w:spacing w:before="12"/>
      </w:pPr>
    </w:p>
    <w:p>
      <w:pPr>
        <w:pStyle w:val="Heading1"/>
        <w:numPr>
          <w:ilvl w:val="0"/>
          <w:numId w:val="1"/>
        </w:numPr>
        <w:tabs>
          <w:tab w:pos="708" w:val="left" w:leader="none"/>
        </w:tabs>
        <w:spacing w:line="240" w:lineRule="auto" w:before="0" w:after="0"/>
        <w:ind w:left="708" w:right="0" w:hanging="358"/>
        <w:jc w:val="left"/>
      </w:pPr>
      <w:r>
        <w:rPr/>
        <w:t>Bases</w:t>
      </w:r>
      <w:r>
        <w:rPr>
          <w:spacing w:val="-8"/>
        </w:rPr>
        <w:t> </w:t>
      </w:r>
      <w:r>
        <w:rPr/>
        <w:t>de</w:t>
      </w:r>
      <w:r>
        <w:rPr>
          <w:spacing w:val="-7"/>
        </w:rPr>
        <w:t> </w:t>
      </w:r>
      <w:r>
        <w:rPr/>
        <w:t>presentación</w:t>
      </w:r>
      <w:r>
        <w:rPr>
          <w:spacing w:val="-8"/>
        </w:rPr>
        <w:t> </w:t>
      </w:r>
      <w:r>
        <w:rPr/>
        <w:t>de</w:t>
      </w:r>
      <w:r>
        <w:rPr>
          <w:spacing w:val="-7"/>
        </w:rPr>
        <w:t> </w:t>
      </w:r>
      <w:r>
        <w:rPr/>
        <w:t>las</w:t>
      </w:r>
      <w:r>
        <w:rPr>
          <w:spacing w:val="-7"/>
        </w:rPr>
        <w:t> </w:t>
      </w:r>
      <w:r>
        <w:rPr/>
        <w:t>cuentas</w:t>
      </w:r>
      <w:r>
        <w:rPr>
          <w:spacing w:val="-8"/>
        </w:rPr>
        <w:t> </w:t>
      </w:r>
      <w:r>
        <w:rPr/>
        <w:t>anuales</w:t>
      </w:r>
      <w:r>
        <w:rPr>
          <w:spacing w:val="-7"/>
        </w:rPr>
        <w:t> </w:t>
      </w:r>
      <w:r>
        <w:rPr>
          <w:spacing w:val="-2"/>
        </w:rPr>
        <w:t>abreviadas</w:t>
      </w:r>
    </w:p>
    <w:p>
      <w:pPr>
        <w:pStyle w:val="BodyText"/>
        <w:spacing w:before="12"/>
        <w:rPr>
          <w:b/>
        </w:rPr>
      </w:pPr>
    </w:p>
    <w:p>
      <w:pPr>
        <w:pStyle w:val="ListParagraph"/>
        <w:numPr>
          <w:ilvl w:val="1"/>
          <w:numId w:val="1"/>
        </w:numPr>
        <w:tabs>
          <w:tab w:pos="1275" w:val="left" w:leader="none"/>
        </w:tabs>
        <w:spacing w:line="240" w:lineRule="auto" w:before="0" w:after="0"/>
        <w:ind w:left="1275" w:right="0" w:hanging="280"/>
        <w:jc w:val="left"/>
        <w:rPr>
          <w:sz w:val="22"/>
        </w:rPr>
      </w:pPr>
      <w:r>
        <w:rPr>
          <w:spacing w:val="-4"/>
          <w:sz w:val="22"/>
        </w:rPr>
        <w:t>Imagen</w:t>
      </w:r>
      <w:r>
        <w:rPr>
          <w:spacing w:val="-3"/>
          <w:sz w:val="22"/>
        </w:rPr>
        <w:t> </w:t>
      </w:r>
      <w:r>
        <w:rPr>
          <w:spacing w:val="-4"/>
          <w:sz w:val="22"/>
        </w:rPr>
        <w:t>fiel</w:t>
      </w:r>
    </w:p>
    <w:p>
      <w:pPr>
        <w:pStyle w:val="BodyText"/>
        <w:spacing w:before="15"/>
      </w:pPr>
    </w:p>
    <w:p>
      <w:pPr>
        <w:pStyle w:val="BodyText"/>
        <w:spacing w:line="247" w:lineRule="auto" w:before="1"/>
        <w:ind w:left="1278" w:right="835"/>
        <w:jc w:val="both"/>
      </w:pPr>
      <w:r>
        <w:rPr/>
        <w:t>Las cuentas anuales abreviadas, compuestas por el balance abreviado, la cuenta de pérdidas y ganancias abreviada y la memoria abreviada compuesta por las notas 1 a 16, se han preparado a partir</w:t>
      </w:r>
      <w:r>
        <w:rPr>
          <w:spacing w:val="-2"/>
        </w:rPr>
        <w:t> </w:t>
      </w:r>
      <w:r>
        <w:rPr/>
        <w:t>de los</w:t>
      </w:r>
      <w:r>
        <w:rPr>
          <w:spacing w:val="-2"/>
        </w:rPr>
        <w:t> </w:t>
      </w:r>
      <w:r>
        <w:rPr/>
        <w:t>registros contables, habiéndose aplicado las disposiciones legales vigentes en materia contable,</w:t>
      </w:r>
      <w:r>
        <w:rPr>
          <w:spacing w:val="-12"/>
        </w:rPr>
        <w:t> </w:t>
      </w:r>
      <w:r>
        <w:rPr/>
        <w:t>en</w:t>
      </w:r>
      <w:r>
        <w:rPr>
          <w:spacing w:val="-9"/>
        </w:rPr>
        <w:t> </w:t>
      </w:r>
      <w:r>
        <w:rPr/>
        <w:t>concreto,</w:t>
      </w:r>
      <w:r>
        <w:rPr>
          <w:spacing w:val="-8"/>
        </w:rPr>
        <w:t> </w:t>
      </w:r>
      <w:r>
        <w:rPr/>
        <w:t>el</w:t>
      </w:r>
      <w:r>
        <w:rPr>
          <w:spacing w:val="-9"/>
        </w:rPr>
        <w:t> </w:t>
      </w:r>
      <w:r>
        <w:rPr/>
        <w:t>Plan</w:t>
      </w:r>
      <w:r>
        <w:rPr>
          <w:spacing w:val="-9"/>
        </w:rPr>
        <w:t> </w:t>
      </w:r>
      <w:r>
        <w:rPr/>
        <w:t>General</w:t>
      </w:r>
      <w:r>
        <w:rPr>
          <w:spacing w:val="-9"/>
        </w:rPr>
        <w:t> </w:t>
      </w:r>
      <w:r>
        <w:rPr/>
        <w:t>de</w:t>
      </w:r>
      <w:r>
        <w:rPr>
          <w:spacing w:val="-10"/>
        </w:rPr>
        <w:t> </w:t>
      </w:r>
      <w:r>
        <w:rPr/>
        <w:t>Contabilidad</w:t>
      </w:r>
      <w:r>
        <w:rPr>
          <w:spacing w:val="-14"/>
        </w:rPr>
        <w:t> </w:t>
      </w:r>
      <w:r>
        <w:rPr/>
        <w:t>aprobado</w:t>
      </w:r>
      <w:r>
        <w:rPr>
          <w:spacing w:val="-9"/>
        </w:rPr>
        <w:t> </w:t>
      </w:r>
      <w:r>
        <w:rPr/>
        <w:t>por</w:t>
      </w:r>
      <w:r>
        <w:rPr>
          <w:spacing w:val="-14"/>
        </w:rPr>
        <w:t> </w:t>
      </w:r>
      <w:r>
        <w:rPr/>
        <w:t>el</w:t>
      </w:r>
      <w:r>
        <w:rPr>
          <w:spacing w:val="-9"/>
        </w:rPr>
        <w:t> </w:t>
      </w:r>
      <w:r>
        <w:rPr/>
        <w:t>Real</w:t>
      </w:r>
      <w:r>
        <w:rPr>
          <w:spacing w:val="-9"/>
        </w:rPr>
        <w:t> </w:t>
      </w:r>
      <w:r>
        <w:rPr/>
        <w:t>Decreto</w:t>
      </w:r>
      <w:r>
        <w:rPr>
          <w:spacing w:val="-6"/>
        </w:rPr>
        <w:t> </w:t>
      </w:r>
      <w:r>
        <w:rPr/>
        <w:t>1514/2007,</w:t>
      </w:r>
      <w:r>
        <w:rPr>
          <w:spacing w:val="-9"/>
        </w:rPr>
        <w:t> </w:t>
      </w:r>
      <w:r>
        <w:rPr/>
        <w:t>de 16</w:t>
      </w:r>
      <w:r>
        <w:rPr>
          <w:spacing w:val="-9"/>
        </w:rPr>
        <w:t> </w:t>
      </w:r>
      <w:r>
        <w:rPr/>
        <w:t>de</w:t>
      </w:r>
      <w:r>
        <w:rPr>
          <w:spacing w:val="-10"/>
        </w:rPr>
        <w:t> </w:t>
      </w:r>
      <w:r>
        <w:rPr/>
        <w:t>noviembre</w:t>
      </w:r>
      <w:r>
        <w:rPr>
          <w:spacing w:val="-9"/>
        </w:rPr>
        <w:t> </w:t>
      </w:r>
      <w:r>
        <w:rPr/>
        <w:t>de</w:t>
      </w:r>
      <w:r>
        <w:rPr>
          <w:spacing w:val="-9"/>
        </w:rPr>
        <w:t> </w:t>
      </w:r>
      <w:r>
        <w:rPr/>
        <w:t>2007,</w:t>
      </w:r>
      <w:r>
        <w:rPr>
          <w:spacing w:val="-10"/>
        </w:rPr>
        <w:t> </w:t>
      </w:r>
      <w:r>
        <w:rPr/>
        <w:t>y</w:t>
      </w:r>
      <w:r>
        <w:rPr>
          <w:spacing w:val="-9"/>
        </w:rPr>
        <w:t> </w:t>
      </w:r>
      <w:r>
        <w:rPr/>
        <w:t>sus</w:t>
      </w:r>
      <w:r>
        <w:rPr>
          <w:spacing w:val="-9"/>
        </w:rPr>
        <w:t> </w:t>
      </w:r>
      <w:r>
        <w:rPr/>
        <w:t>modificaciones</w:t>
      </w:r>
      <w:r>
        <w:rPr>
          <w:spacing w:val="-7"/>
        </w:rPr>
        <w:t> </w:t>
      </w:r>
      <w:r>
        <w:rPr/>
        <w:t>aprobadas</w:t>
      </w:r>
      <w:r>
        <w:rPr>
          <w:spacing w:val="-9"/>
        </w:rPr>
        <w:t> </w:t>
      </w:r>
      <w:r>
        <w:rPr/>
        <w:t>por</w:t>
      </w:r>
      <w:r>
        <w:rPr>
          <w:spacing w:val="-8"/>
        </w:rPr>
        <w:t> </w:t>
      </w:r>
      <w:r>
        <w:rPr/>
        <w:t>el</w:t>
      </w:r>
      <w:r>
        <w:rPr>
          <w:spacing w:val="-7"/>
        </w:rPr>
        <w:t> </w:t>
      </w:r>
      <w:r>
        <w:rPr/>
        <w:t>Real</w:t>
      </w:r>
      <w:r>
        <w:rPr>
          <w:spacing w:val="-7"/>
        </w:rPr>
        <w:t> </w:t>
      </w:r>
      <w:r>
        <w:rPr/>
        <w:t>Decreto</w:t>
      </w:r>
      <w:r>
        <w:rPr>
          <w:spacing w:val="-9"/>
        </w:rPr>
        <w:t> </w:t>
      </w:r>
      <w:r>
        <w:rPr/>
        <w:t>1159/2010,</w:t>
      </w:r>
      <w:r>
        <w:rPr>
          <w:spacing w:val="-9"/>
        </w:rPr>
        <w:t> </w:t>
      </w:r>
      <w:r>
        <w:rPr/>
        <w:t>de</w:t>
      </w:r>
      <w:r>
        <w:rPr>
          <w:spacing w:val="-10"/>
        </w:rPr>
        <w:t> </w:t>
      </w:r>
      <w:r>
        <w:rPr/>
        <w:t>17</w:t>
      </w:r>
      <w:r>
        <w:rPr>
          <w:spacing w:val="-9"/>
        </w:rPr>
        <w:t> </w:t>
      </w:r>
      <w:r>
        <w:rPr/>
        <w:t>de septiembre, por el Real Decreto 602/2016, de 2 de diciembre, y por el Real Decreto 1/2021, de 12 de</w:t>
      </w:r>
      <w:r>
        <w:rPr>
          <w:spacing w:val="-1"/>
        </w:rPr>
        <w:t> </w:t>
      </w:r>
      <w:r>
        <w:rPr/>
        <w:t>enero, con</w:t>
      </w:r>
      <w:r>
        <w:rPr>
          <w:spacing w:val="-3"/>
        </w:rPr>
        <w:t> </w:t>
      </w:r>
      <w:r>
        <w:rPr/>
        <w:t>el</w:t>
      </w:r>
      <w:r>
        <w:rPr>
          <w:spacing w:val="-2"/>
        </w:rPr>
        <w:t> </w:t>
      </w:r>
      <w:r>
        <w:rPr/>
        <w:t>objeto</w:t>
      </w:r>
      <w:r>
        <w:rPr>
          <w:spacing w:val="-2"/>
        </w:rPr>
        <w:t> </w:t>
      </w:r>
      <w:r>
        <w:rPr/>
        <w:t>de</w:t>
      </w:r>
      <w:r>
        <w:rPr>
          <w:spacing w:val="-5"/>
        </w:rPr>
        <w:t> </w:t>
      </w:r>
      <w:r>
        <w:rPr/>
        <w:t>mostrar</w:t>
      </w:r>
      <w:r>
        <w:rPr>
          <w:spacing w:val="-1"/>
        </w:rPr>
        <w:t> </w:t>
      </w:r>
      <w:r>
        <w:rPr/>
        <w:t>la imagen</w:t>
      </w:r>
      <w:r>
        <w:rPr>
          <w:spacing w:val="-3"/>
        </w:rPr>
        <w:t> </w:t>
      </w:r>
      <w:r>
        <w:rPr/>
        <w:t>fiel del</w:t>
      </w:r>
      <w:r>
        <w:rPr>
          <w:spacing w:val="-3"/>
        </w:rPr>
        <w:t> </w:t>
      </w:r>
      <w:r>
        <w:rPr/>
        <w:t>patrimonio, de</w:t>
      </w:r>
      <w:r>
        <w:rPr>
          <w:spacing w:val="-4"/>
        </w:rPr>
        <w:t> </w:t>
      </w:r>
      <w:r>
        <w:rPr/>
        <w:t>la</w:t>
      </w:r>
      <w:r>
        <w:rPr>
          <w:spacing w:val="-3"/>
        </w:rPr>
        <w:t> </w:t>
      </w:r>
      <w:r>
        <w:rPr/>
        <w:t>situación financiera</w:t>
      </w:r>
      <w:r>
        <w:rPr>
          <w:spacing w:val="-2"/>
        </w:rPr>
        <w:t> </w:t>
      </w:r>
      <w:r>
        <w:rPr/>
        <w:t>y de</w:t>
      </w:r>
      <w:r>
        <w:rPr>
          <w:spacing w:val="-4"/>
        </w:rPr>
        <w:t> </w:t>
      </w:r>
      <w:r>
        <w:rPr/>
        <w:t>los resultados correspondientes al ejercicio.</w:t>
      </w:r>
    </w:p>
    <w:p>
      <w:pPr>
        <w:pStyle w:val="BodyText"/>
        <w:spacing w:before="1"/>
      </w:pPr>
    </w:p>
    <w:p>
      <w:pPr>
        <w:pStyle w:val="BodyText"/>
        <w:spacing w:line="244" w:lineRule="auto"/>
        <w:ind w:left="1278" w:right="845"/>
        <w:jc w:val="both"/>
      </w:pPr>
      <w:r>
        <w:rPr/>
        <w:t>Salvo indicación en contrario, todas las cifras presentadas en esta memoria abreviada vienen expresadas en euros.</w:t>
      </w:r>
    </w:p>
    <w:p>
      <w:pPr>
        <w:pStyle w:val="BodyText"/>
        <w:spacing w:before="9"/>
      </w:pPr>
    </w:p>
    <w:p>
      <w:pPr>
        <w:pStyle w:val="BodyText"/>
        <w:spacing w:line="244" w:lineRule="auto" w:before="1"/>
        <w:ind w:left="1278" w:right="843"/>
        <w:jc w:val="both"/>
      </w:pPr>
      <w:r>
        <w:rPr/>
        <w:t>Las cuentas</w:t>
      </w:r>
      <w:r>
        <w:rPr>
          <w:spacing w:val="-1"/>
        </w:rPr>
        <w:t> </w:t>
      </w:r>
      <w:r>
        <w:rPr/>
        <w:t>anuales abreviadas formuladas por los Administradores serán sometidas a aprobación por la Junta General de Accionistas, estimándose que serán aprobadas sin modificación alguna.</w:t>
      </w:r>
    </w:p>
    <w:p>
      <w:pPr>
        <w:pStyle w:val="BodyText"/>
        <w:spacing w:after="0" w:line="244" w:lineRule="auto"/>
        <w:jc w:val="both"/>
        <w:sectPr>
          <w:pgSz w:w="11910" w:h="16840"/>
          <w:pgMar w:header="694" w:footer="690" w:top="1920" w:bottom="880" w:left="708" w:right="425"/>
        </w:sectPr>
      </w:pPr>
    </w:p>
    <w:p>
      <w:pPr>
        <w:pStyle w:val="BodyText"/>
        <w:spacing w:before="186"/>
      </w:pPr>
    </w:p>
    <w:p>
      <w:pPr>
        <w:pStyle w:val="ListParagraph"/>
        <w:numPr>
          <w:ilvl w:val="1"/>
          <w:numId w:val="1"/>
        </w:numPr>
        <w:tabs>
          <w:tab w:pos="1274" w:val="left" w:leader="none"/>
        </w:tabs>
        <w:spacing w:line="240" w:lineRule="auto" w:before="0" w:after="0"/>
        <w:ind w:left="1274" w:right="0" w:hanging="279"/>
        <w:jc w:val="left"/>
        <w:rPr>
          <w:sz w:val="22"/>
        </w:rPr>
      </w:pPr>
      <w:r>
        <w:rPr>
          <w:spacing w:val="-4"/>
          <w:sz w:val="22"/>
        </w:rPr>
        <w:t>Principios</w:t>
      </w:r>
      <w:r>
        <w:rPr>
          <w:spacing w:val="-3"/>
          <w:sz w:val="22"/>
        </w:rPr>
        <w:t> </w:t>
      </w:r>
      <w:r>
        <w:rPr>
          <w:spacing w:val="-2"/>
          <w:sz w:val="22"/>
        </w:rPr>
        <w:t>contables</w:t>
      </w:r>
    </w:p>
    <w:p>
      <w:pPr>
        <w:pStyle w:val="BodyText"/>
        <w:spacing w:before="16"/>
      </w:pPr>
    </w:p>
    <w:p>
      <w:pPr>
        <w:pStyle w:val="BodyText"/>
        <w:spacing w:line="244" w:lineRule="auto"/>
        <w:ind w:left="1278" w:right="841"/>
        <w:jc w:val="both"/>
      </w:pPr>
      <w:r>
        <w:rPr/>
        <w:t>Las cuentas anuales abreviadas se han preparado de acuerdo con los principios contables obligatorios.</w:t>
      </w:r>
      <w:r>
        <w:rPr>
          <w:spacing w:val="-13"/>
        </w:rPr>
        <w:t> </w:t>
      </w:r>
      <w:r>
        <w:rPr/>
        <w:t>No</w:t>
      </w:r>
      <w:r>
        <w:rPr>
          <w:spacing w:val="-13"/>
        </w:rPr>
        <w:t> </w:t>
      </w:r>
      <w:r>
        <w:rPr/>
        <w:t>existe</w:t>
      </w:r>
      <w:r>
        <w:rPr>
          <w:spacing w:val="-13"/>
        </w:rPr>
        <w:t> </w:t>
      </w:r>
      <w:r>
        <w:rPr/>
        <w:t>ningún</w:t>
      </w:r>
      <w:r>
        <w:rPr>
          <w:spacing w:val="-12"/>
        </w:rPr>
        <w:t> </w:t>
      </w:r>
      <w:r>
        <w:rPr/>
        <w:t>principio</w:t>
      </w:r>
      <w:r>
        <w:rPr>
          <w:spacing w:val="-13"/>
        </w:rPr>
        <w:t> </w:t>
      </w:r>
      <w:r>
        <w:rPr/>
        <w:t>contable</w:t>
      </w:r>
      <w:r>
        <w:rPr>
          <w:spacing w:val="-12"/>
        </w:rPr>
        <w:t> </w:t>
      </w:r>
      <w:r>
        <w:rPr/>
        <w:t>que,</w:t>
      </w:r>
      <w:r>
        <w:rPr>
          <w:spacing w:val="-14"/>
        </w:rPr>
        <w:t> </w:t>
      </w:r>
      <w:r>
        <w:rPr/>
        <w:t>siendo</w:t>
      </w:r>
      <w:r>
        <w:rPr>
          <w:spacing w:val="-12"/>
        </w:rPr>
        <w:t> </w:t>
      </w:r>
      <w:r>
        <w:rPr/>
        <w:t>significativo</w:t>
      </w:r>
      <w:r>
        <w:rPr>
          <w:spacing w:val="-12"/>
        </w:rPr>
        <w:t> </w:t>
      </w:r>
      <w:r>
        <w:rPr/>
        <w:t>su</w:t>
      </w:r>
      <w:r>
        <w:rPr>
          <w:spacing w:val="-13"/>
        </w:rPr>
        <w:t> </w:t>
      </w:r>
      <w:r>
        <w:rPr/>
        <w:t>efecto,</w:t>
      </w:r>
      <w:r>
        <w:rPr>
          <w:spacing w:val="-13"/>
        </w:rPr>
        <w:t> </w:t>
      </w:r>
      <w:r>
        <w:rPr/>
        <w:t>se</w:t>
      </w:r>
      <w:r>
        <w:rPr>
          <w:spacing w:val="-13"/>
        </w:rPr>
        <w:t> </w:t>
      </w:r>
      <w:r>
        <w:rPr/>
        <w:t>haya</w:t>
      </w:r>
      <w:r>
        <w:rPr>
          <w:spacing w:val="-13"/>
        </w:rPr>
        <w:t> </w:t>
      </w:r>
      <w:r>
        <w:rPr/>
        <w:t>dejado de aplicar.</w:t>
      </w:r>
    </w:p>
    <w:p>
      <w:pPr>
        <w:pStyle w:val="BodyText"/>
        <w:spacing w:before="8"/>
      </w:pPr>
    </w:p>
    <w:p>
      <w:pPr>
        <w:pStyle w:val="ListParagraph"/>
        <w:numPr>
          <w:ilvl w:val="1"/>
          <w:numId w:val="1"/>
        </w:numPr>
        <w:tabs>
          <w:tab w:pos="1275" w:val="left" w:leader="none"/>
        </w:tabs>
        <w:spacing w:line="240" w:lineRule="auto" w:before="0" w:after="0"/>
        <w:ind w:left="1275" w:right="0" w:hanging="280"/>
        <w:jc w:val="left"/>
        <w:rPr>
          <w:sz w:val="22"/>
        </w:rPr>
      </w:pPr>
      <w:r>
        <w:rPr>
          <w:spacing w:val="-4"/>
          <w:sz w:val="22"/>
        </w:rPr>
        <w:t>Aspectos</w:t>
      </w:r>
      <w:r>
        <w:rPr>
          <w:spacing w:val="-6"/>
          <w:sz w:val="22"/>
        </w:rPr>
        <w:t> </w:t>
      </w:r>
      <w:r>
        <w:rPr>
          <w:spacing w:val="-4"/>
          <w:sz w:val="22"/>
        </w:rPr>
        <w:t>críticos</w:t>
      </w:r>
      <w:r>
        <w:rPr>
          <w:spacing w:val="-2"/>
          <w:sz w:val="22"/>
        </w:rPr>
        <w:t> </w:t>
      </w:r>
      <w:r>
        <w:rPr>
          <w:spacing w:val="-4"/>
          <w:sz w:val="22"/>
        </w:rPr>
        <w:t>de</w:t>
      </w:r>
      <w:r>
        <w:rPr>
          <w:spacing w:val="-5"/>
          <w:sz w:val="22"/>
        </w:rPr>
        <w:t> </w:t>
      </w:r>
      <w:r>
        <w:rPr>
          <w:spacing w:val="-4"/>
          <w:sz w:val="22"/>
        </w:rPr>
        <w:t>la</w:t>
      </w:r>
      <w:r>
        <w:rPr>
          <w:spacing w:val="-2"/>
          <w:sz w:val="22"/>
        </w:rPr>
        <w:t> </w:t>
      </w:r>
      <w:r>
        <w:rPr>
          <w:spacing w:val="-4"/>
          <w:sz w:val="22"/>
        </w:rPr>
        <w:t>valoración</w:t>
      </w:r>
      <w:r>
        <w:rPr>
          <w:spacing w:val="-2"/>
          <w:sz w:val="22"/>
        </w:rPr>
        <w:t> </w:t>
      </w:r>
      <w:r>
        <w:rPr>
          <w:spacing w:val="-4"/>
          <w:sz w:val="22"/>
        </w:rPr>
        <w:t>y</w:t>
      </w:r>
      <w:r>
        <w:rPr>
          <w:sz w:val="22"/>
        </w:rPr>
        <w:t> </w:t>
      </w:r>
      <w:r>
        <w:rPr>
          <w:spacing w:val="-4"/>
          <w:sz w:val="22"/>
        </w:rPr>
        <w:t>estimación</w:t>
      </w:r>
      <w:r>
        <w:rPr>
          <w:spacing w:val="-1"/>
          <w:sz w:val="22"/>
        </w:rPr>
        <w:t> </w:t>
      </w:r>
      <w:r>
        <w:rPr>
          <w:spacing w:val="-4"/>
          <w:sz w:val="22"/>
        </w:rPr>
        <w:t>de</w:t>
      </w:r>
      <w:r>
        <w:rPr>
          <w:spacing w:val="-2"/>
          <w:sz w:val="22"/>
        </w:rPr>
        <w:t> </w:t>
      </w:r>
      <w:r>
        <w:rPr>
          <w:spacing w:val="-4"/>
          <w:sz w:val="22"/>
        </w:rPr>
        <w:t>la</w:t>
      </w:r>
      <w:r>
        <w:rPr>
          <w:spacing w:val="-2"/>
          <w:sz w:val="22"/>
        </w:rPr>
        <w:t> </w:t>
      </w:r>
      <w:r>
        <w:rPr>
          <w:spacing w:val="-4"/>
          <w:sz w:val="22"/>
        </w:rPr>
        <w:t>incertidumbre</w:t>
      </w:r>
    </w:p>
    <w:p>
      <w:pPr>
        <w:pStyle w:val="BodyText"/>
        <w:spacing w:before="16"/>
      </w:pPr>
    </w:p>
    <w:p>
      <w:pPr>
        <w:pStyle w:val="BodyText"/>
        <w:spacing w:line="247" w:lineRule="auto"/>
        <w:ind w:left="1278" w:right="838"/>
        <w:jc w:val="both"/>
      </w:pPr>
      <w:r>
        <w:rPr/>
        <w:t>En la elaboración de las cuentas anuales abreviadas adjuntas se han utilizado estimaciones realizadas por los Administradores de la Sociedad para valorar algunos de los activos, pasivos, ingresos,</w:t>
      </w:r>
      <w:r>
        <w:rPr>
          <w:spacing w:val="-11"/>
        </w:rPr>
        <w:t> </w:t>
      </w:r>
      <w:r>
        <w:rPr/>
        <w:t>gastos</w:t>
      </w:r>
      <w:r>
        <w:rPr>
          <w:spacing w:val="-12"/>
        </w:rPr>
        <w:t> </w:t>
      </w:r>
      <w:r>
        <w:rPr/>
        <w:t>y</w:t>
      </w:r>
      <w:r>
        <w:rPr>
          <w:spacing w:val="-11"/>
        </w:rPr>
        <w:t> </w:t>
      </w:r>
      <w:r>
        <w:rPr/>
        <w:t>compromisos</w:t>
      </w:r>
      <w:r>
        <w:rPr>
          <w:spacing w:val="-11"/>
        </w:rPr>
        <w:t> </w:t>
      </w:r>
      <w:r>
        <w:rPr/>
        <w:t>que</w:t>
      </w:r>
      <w:r>
        <w:rPr>
          <w:spacing w:val="-11"/>
        </w:rPr>
        <w:t> </w:t>
      </w:r>
      <w:r>
        <w:rPr/>
        <w:t>figuran</w:t>
      </w:r>
      <w:r>
        <w:rPr>
          <w:spacing w:val="-11"/>
        </w:rPr>
        <w:t> </w:t>
      </w:r>
      <w:r>
        <w:rPr/>
        <w:t>registrados</w:t>
      </w:r>
      <w:r>
        <w:rPr>
          <w:spacing w:val="-11"/>
        </w:rPr>
        <w:t> </w:t>
      </w:r>
      <w:r>
        <w:rPr/>
        <w:t>en</w:t>
      </w:r>
      <w:r>
        <w:rPr>
          <w:spacing w:val="-11"/>
        </w:rPr>
        <w:t> </w:t>
      </w:r>
      <w:r>
        <w:rPr/>
        <w:t>ellas.</w:t>
      </w:r>
      <w:r>
        <w:rPr>
          <w:spacing w:val="-12"/>
        </w:rPr>
        <w:t> </w:t>
      </w:r>
      <w:r>
        <w:rPr/>
        <w:t>Básicamente</w:t>
      </w:r>
      <w:r>
        <w:rPr>
          <w:spacing w:val="-11"/>
        </w:rPr>
        <w:t> </w:t>
      </w:r>
      <w:r>
        <w:rPr/>
        <w:t>estas</w:t>
      </w:r>
      <w:r>
        <w:rPr>
          <w:spacing w:val="-14"/>
        </w:rPr>
        <w:t> </w:t>
      </w:r>
      <w:r>
        <w:rPr/>
        <w:t>estimaciones</w:t>
      </w:r>
      <w:r>
        <w:rPr>
          <w:spacing w:val="-11"/>
        </w:rPr>
        <w:t> </w:t>
      </w:r>
      <w:r>
        <w:rPr/>
        <w:t>se refieren a:</w:t>
      </w:r>
    </w:p>
    <w:p>
      <w:pPr>
        <w:pStyle w:val="BodyText"/>
        <w:spacing w:before="2"/>
      </w:pPr>
    </w:p>
    <w:p>
      <w:pPr>
        <w:pStyle w:val="ListParagraph"/>
        <w:numPr>
          <w:ilvl w:val="0"/>
          <w:numId w:val="4"/>
        </w:numPr>
        <w:tabs>
          <w:tab w:pos="1562" w:val="left" w:leader="none"/>
        </w:tabs>
        <w:spacing w:line="240" w:lineRule="auto" w:before="0" w:after="0"/>
        <w:ind w:left="1562" w:right="0" w:hanging="284"/>
        <w:jc w:val="left"/>
        <w:rPr>
          <w:sz w:val="22"/>
        </w:rPr>
      </w:pPr>
      <w:r>
        <w:rPr>
          <w:spacing w:val="-4"/>
          <w:sz w:val="22"/>
        </w:rPr>
        <w:t>La</w:t>
      </w:r>
      <w:r>
        <w:rPr>
          <w:spacing w:val="-3"/>
          <w:sz w:val="22"/>
        </w:rPr>
        <w:t> </w:t>
      </w:r>
      <w:r>
        <w:rPr>
          <w:spacing w:val="-4"/>
          <w:sz w:val="22"/>
        </w:rPr>
        <w:t>vida</w:t>
      </w:r>
      <w:r>
        <w:rPr>
          <w:spacing w:val="-2"/>
          <w:sz w:val="22"/>
        </w:rPr>
        <w:t> </w:t>
      </w:r>
      <w:r>
        <w:rPr>
          <w:spacing w:val="-4"/>
          <w:sz w:val="22"/>
        </w:rPr>
        <w:t>útil</w:t>
      </w:r>
      <w:r>
        <w:rPr>
          <w:sz w:val="22"/>
        </w:rPr>
        <w:t> </w:t>
      </w:r>
      <w:r>
        <w:rPr>
          <w:spacing w:val="-4"/>
          <w:sz w:val="22"/>
        </w:rPr>
        <w:t>de los activos</w:t>
      </w:r>
      <w:r>
        <w:rPr>
          <w:sz w:val="22"/>
        </w:rPr>
        <w:t> </w:t>
      </w:r>
      <w:r>
        <w:rPr>
          <w:spacing w:val="-4"/>
          <w:sz w:val="22"/>
        </w:rPr>
        <w:t>materiales,</w:t>
      </w:r>
      <w:r>
        <w:rPr>
          <w:spacing w:val="-1"/>
          <w:sz w:val="22"/>
        </w:rPr>
        <w:t> </w:t>
      </w:r>
      <w:r>
        <w:rPr>
          <w:spacing w:val="-4"/>
          <w:sz w:val="22"/>
        </w:rPr>
        <w:t>intangibles</w:t>
      </w:r>
      <w:r>
        <w:rPr>
          <w:spacing w:val="-2"/>
          <w:sz w:val="22"/>
        </w:rPr>
        <w:t> </w:t>
      </w:r>
      <w:r>
        <w:rPr>
          <w:spacing w:val="-4"/>
          <w:sz w:val="22"/>
        </w:rPr>
        <w:t>(notas</w:t>
      </w:r>
      <w:r>
        <w:rPr>
          <w:spacing w:val="-5"/>
          <w:sz w:val="22"/>
        </w:rPr>
        <w:t> </w:t>
      </w:r>
      <w:r>
        <w:rPr>
          <w:spacing w:val="-4"/>
          <w:sz w:val="22"/>
        </w:rPr>
        <w:t>4.a</w:t>
      </w:r>
      <w:r>
        <w:rPr>
          <w:spacing w:val="-1"/>
          <w:sz w:val="22"/>
        </w:rPr>
        <w:t> </w:t>
      </w:r>
      <w:r>
        <w:rPr>
          <w:spacing w:val="-4"/>
          <w:sz w:val="22"/>
        </w:rPr>
        <w:t>y</w:t>
      </w:r>
      <w:r>
        <w:rPr>
          <w:spacing w:val="-1"/>
          <w:sz w:val="22"/>
        </w:rPr>
        <w:t> </w:t>
      </w:r>
      <w:r>
        <w:rPr>
          <w:spacing w:val="-4"/>
          <w:sz w:val="22"/>
        </w:rPr>
        <w:t>4.b).</w:t>
      </w:r>
    </w:p>
    <w:p>
      <w:pPr>
        <w:pStyle w:val="BodyText"/>
        <w:spacing w:before="15"/>
      </w:pPr>
    </w:p>
    <w:p>
      <w:pPr>
        <w:pStyle w:val="ListParagraph"/>
        <w:numPr>
          <w:ilvl w:val="0"/>
          <w:numId w:val="4"/>
        </w:numPr>
        <w:tabs>
          <w:tab w:pos="1562" w:val="left" w:leader="none"/>
        </w:tabs>
        <w:spacing w:line="240" w:lineRule="auto" w:before="0" w:after="0"/>
        <w:ind w:left="1562" w:right="0" w:hanging="284"/>
        <w:jc w:val="left"/>
        <w:rPr>
          <w:sz w:val="22"/>
        </w:rPr>
      </w:pPr>
      <w:r>
        <w:rPr>
          <w:spacing w:val="-4"/>
          <w:sz w:val="22"/>
        </w:rPr>
        <w:t>La</w:t>
      </w:r>
      <w:r>
        <w:rPr>
          <w:spacing w:val="-3"/>
          <w:sz w:val="22"/>
        </w:rPr>
        <w:t> </w:t>
      </w:r>
      <w:r>
        <w:rPr>
          <w:spacing w:val="-4"/>
          <w:sz w:val="22"/>
        </w:rPr>
        <w:t>evaluación</w:t>
      </w:r>
      <w:r>
        <w:rPr>
          <w:sz w:val="22"/>
        </w:rPr>
        <w:t> </w:t>
      </w:r>
      <w:r>
        <w:rPr>
          <w:spacing w:val="-4"/>
          <w:sz w:val="22"/>
        </w:rPr>
        <w:t>de</w:t>
      </w:r>
      <w:r>
        <w:rPr>
          <w:spacing w:val="-3"/>
          <w:sz w:val="22"/>
        </w:rPr>
        <w:t> </w:t>
      </w:r>
      <w:r>
        <w:rPr>
          <w:spacing w:val="-4"/>
          <w:sz w:val="22"/>
        </w:rPr>
        <w:t>posibles</w:t>
      </w:r>
      <w:r>
        <w:rPr>
          <w:spacing w:val="-2"/>
          <w:sz w:val="22"/>
        </w:rPr>
        <w:t> </w:t>
      </w:r>
      <w:r>
        <w:rPr>
          <w:spacing w:val="-4"/>
          <w:sz w:val="22"/>
        </w:rPr>
        <w:t>pérdidas por</w:t>
      </w:r>
      <w:r>
        <w:rPr>
          <w:sz w:val="22"/>
        </w:rPr>
        <w:t> </w:t>
      </w:r>
      <w:r>
        <w:rPr>
          <w:spacing w:val="-4"/>
          <w:sz w:val="22"/>
        </w:rPr>
        <w:t>deterioro</w:t>
      </w:r>
      <w:r>
        <w:rPr>
          <w:spacing w:val="-1"/>
          <w:sz w:val="22"/>
        </w:rPr>
        <w:t> </w:t>
      </w:r>
      <w:r>
        <w:rPr>
          <w:spacing w:val="-4"/>
          <w:sz w:val="22"/>
        </w:rPr>
        <w:t>de</w:t>
      </w:r>
      <w:r>
        <w:rPr>
          <w:spacing w:val="-3"/>
          <w:sz w:val="22"/>
        </w:rPr>
        <w:t> </w:t>
      </w:r>
      <w:r>
        <w:rPr>
          <w:spacing w:val="-4"/>
          <w:sz w:val="22"/>
        </w:rPr>
        <w:t>determinados</w:t>
      </w:r>
      <w:r>
        <w:rPr>
          <w:spacing w:val="-3"/>
          <w:sz w:val="22"/>
        </w:rPr>
        <w:t> </w:t>
      </w:r>
      <w:r>
        <w:rPr>
          <w:spacing w:val="-4"/>
          <w:sz w:val="22"/>
        </w:rPr>
        <w:t>activos</w:t>
      </w:r>
      <w:r>
        <w:rPr>
          <w:spacing w:val="-3"/>
          <w:sz w:val="22"/>
        </w:rPr>
        <w:t> </w:t>
      </w:r>
      <w:r>
        <w:rPr>
          <w:spacing w:val="-4"/>
          <w:sz w:val="22"/>
        </w:rPr>
        <w:t>(notas</w:t>
      </w:r>
      <w:r>
        <w:rPr>
          <w:spacing w:val="-2"/>
          <w:sz w:val="22"/>
        </w:rPr>
        <w:t> </w:t>
      </w:r>
      <w:r>
        <w:rPr>
          <w:spacing w:val="-4"/>
          <w:sz w:val="22"/>
        </w:rPr>
        <w:t>4.c,</w:t>
      </w:r>
      <w:r>
        <w:rPr>
          <w:spacing w:val="-3"/>
          <w:sz w:val="22"/>
        </w:rPr>
        <w:t> </w:t>
      </w:r>
      <w:r>
        <w:rPr>
          <w:spacing w:val="-4"/>
          <w:sz w:val="22"/>
        </w:rPr>
        <w:t>4.e</w:t>
      </w:r>
      <w:r>
        <w:rPr>
          <w:spacing w:val="-2"/>
          <w:sz w:val="22"/>
        </w:rPr>
        <w:t> </w:t>
      </w:r>
      <w:r>
        <w:rPr>
          <w:spacing w:val="-4"/>
          <w:sz w:val="22"/>
        </w:rPr>
        <w:t>y</w:t>
      </w:r>
      <w:r>
        <w:rPr>
          <w:spacing w:val="-1"/>
          <w:sz w:val="22"/>
        </w:rPr>
        <w:t> </w:t>
      </w:r>
      <w:r>
        <w:rPr>
          <w:spacing w:val="-4"/>
          <w:sz w:val="22"/>
        </w:rPr>
        <w:t>4.f)</w:t>
      </w:r>
    </w:p>
    <w:p>
      <w:pPr>
        <w:pStyle w:val="BodyText"/>
        <w:spacing w:before="15"/>
      </w:pPr>
    </w:p>
    <w:p>
      <w:pPr>
        <w:pStyle w:val="ListParagraph"/>
        <w:numPr>
          <w:ilvl w:val="0"/>
          <w:numId w:val="4"/>
        </w:numPr>
        <w:tabs>
          <w:tab w:pos="1562" w:val="left" w:leader="none"/>
        </w:tabs>
        <w:spacing w:line="240" w:lineRule="auto" w:before="0" w:after="0"/>
        <w:ind w:left="1562" w:right="0" w:hanging="284"/>
        <w:jc w:val="left"/>
        <w:rPr>
          <w:sz w:val="22"/>
        </w:rPr>
      </w:pPr>
      <w:r>
        <w:rPr>
          <w:spacing w:val="-4"/>
          <w:sz w:val="22"/>
        </w:rPr>
        <w:t>La</w:t>
      </w:r>
      <w:r>
        <w:rPr>
          <w:spacing w:val="-3"/>
          <w:sz w:val="22"/>
        </w:rPr>
        <w:t> </w:t>
      </w:r>
      <w:r>
        <w:rPr>
          <w:spacing w:val="-4"/>
          <w:sz w:val="22"/>
        </w:rPr>
        <w:t>activación</w:t>
      </w:r>
      <w:r>
        <w:rPr>
          <w:spacing w:val="-2"/>
          <w:sz w:val="22"/>
        </w:rPr>
        <w:t> </w:t>
      </w:r>
      <w:r>
        <w:rPr>
          <w:spacing w:val="-4"/>
          <w:sz w:val="22"/>
        </w:rPr>
        <w:t>de</w:t>
      </w:r>
      <w:r>
        <w:rPr>
          <w:spacing w:val="-2"/>
          <w:sz w:val="22"/>
        </w:rPr>
        <w:t> </w:t>
      </w:r>
      <w:r>
        <w:rPr>
          <w:spacing w:val="-4"/>
          <w:sz w:val="22"/>
        </w:rPr>
        <w:t>costes</w:t>
      </w:r>
      <w:r>
        <w:rPr>
          <w:spacing w:val="-3"/>
          <w:sz w:val="22"/>
        </w:rPr>
        <w:t> </w:t>
      </w:r>
      <w:r>
        <w:rPr>
          <w:spacing w:val="-4"/>
          <w:sz w:val="22"/>
        </w:rPr>
        <w:t>incurridos</w:t>
      </w:r>
      <w:r>
        <w:rPr>
          <w:spacing w:val="-2"/>
          <w:sz w:val="22"/>
        </w:rPr>
        <w:t> </w:t>
      </w:r>
      <w:r>
        <w:rPr>
          <w:spacing w:val="-4"/>
          <w:sz w:val="22"/>
        </w:rPr>
        <w:t>como</w:t>
      </w:r>
      <w:r>
        <w:rPr>
          <w:spacing w:val="-1"/>
          <w:sz w:val="22"/>
        </w:rPr>
        <w:t> </w:t>
      </w:r>
      <w:r>
        <w:rPr>
          <w:spacing w:val="-4"/>
          <w:sz w:val="22"/>
        </w:rPr>
        <w:t>mayor</w:t>
      </w:r>
      <w:r>
        <w:rPr>
          <w:sz w:val="22"/>
        </w:rPr>
        <w:t> </w:t>
      </w:r>
      <w:r>
        <w:rPr>
          <w:spacing w:val="-4"/>
          <w:sz w:val="22"/>
        </w:rPr>
        <w:t>valor</w:t>
      </w:r>
      <w:r>
        <w:rPr>
          <w:spacing w:val="-2"/>
          <w:sz w:val="22"/>
        </w:rPr>
        <w:t> </w:t>
      </w:r>
      <w:r>
        <w:rPr>
          <w:spacing w:val="-4"/>
          <w:sz w:val="22"/>
        </w:rPr>
        <w:t>de</w:t>
      </w:r>
      <w:r>
        <w:rPr>
          <w:spacing w:val="-3"/>
          <w:sz w:val="22"/>
        </w:rPr>
        <w:t> </w:t>
      </w:r>
      <w:r>
        <w:rPr>
          <w:spacing w:val="-4"/>
          <w:sz w:val="22"/>
        </w:rPr>
        <w:t>existencias</w:t>
      </w:r>
      <w:r>
        <w:rPr>
          <w:spacing w:val="-3"/>
          <w:sz w:val="22"/>
        </w:rPr>
        <w:t> </w:t>
      </w:r>
      <w:r>
        <w:rPr>
          <w:spacing w:val="-4"/>
          <w:sz w:val="22"/>
        </w:rPr>
        <w:t>(nota</w:t>
      </w:r>
      <w:r>
        <w:rPr>
          <w:spacing w:val="-3"/>
          <w:sz w:val="22"/>
        </w:rPr>
        <w:t> </w:t>
      </w:r>
      <w:r>
        <w:rPr>
          <w:spacing w:val="-4"/>
          <w:sz w:val="22"/>
        </w:rPr>
        <w:t>4.f).</w:t>
      </w:r>
    </w:p>
    <w:p>
      <w:pPr>
        <w:pStyle w:val="BodyText"/>
        <w:spacing w:before="13"/>
      </w:pPr>
    </w:p>
    <w:p>
      <w:pPr>
        <w:pStyle w:val="BodyText"/>
        <w:spacing w:line="247" w:lineRule="auto"/>
        <w:ind w:left="1278" w:right="838"/>
        <w:jc w:val="both"/>
      </w:pPr>
      <w:r>
        <w:rPr/>
        <w:t>Adicionalmente</w:t>
      </w:r>
      <w:r>
        <w:rPr>
          <w:spacing w:val="-8"/>
        </w:rPr>
        <w:t> </w:t>
      </w:r>
      <w:r>
        <w:rPr/>
        <w:t>a</w:t>
      </w:r>
      <w:r>
        <w:rPr>
          <w:spacing w:val="-10"/>
        </w:rPr>
        <w:t> </w:t>
      </w:r>
      <w:r>
        <w:rPr/>
        <w:t>las</w:t>
      </w:r>
      <w:r>
        <w:rPr>
          <w:spacing w:val="-8"/>
        </w:rPr>
        <w:t> </w:t>
      </w:r>
      <w:r>
        <w:rPr/>
        <w:t>ya</w:t>
      </w:r>
      <w:r>
        <w:rPr>
          <w:spacing w:val="-10"/>
        </w:rPr>
        <w:t> </w:t>
      </w:r>
      <w:r>
        <w:rPr/>
        <w:t>comentadas,</w:t>
      </w:r>
      <w:r>
        <w:rPr>
          <w:spacing w:val="-8"/>
        </w:rPr>
        <w:t> </w:t>
      </w:r>
      <w:r>
        <w:rPr/>
        <w:t>la</w:t>
      </w:r>
      <w:r>
        <w:rPr>
          <w:spacing w:val="-7"/>
        </w:rPr>
        <w:t> </w:t>
      </w:r>
      <w:r>
        <w:rPr/>
        <w:t>preparación</w:t>
      </w:r>
      <w:r>
        <w:rPr>
          <w:spacing w:val="-8"/>
        </w:rPr>
        <w:t> </w:t>
      </w:r>
      <w:r>
        <w:rPr/>
        <w:t>de</w:t>
      </w:r>
      <w:r>
        <w:rPr>
          <w:spacing w:val="-10"/>
        </w:rPr>
        <w:t> </w:t>
      </w:r>
      <w:r>
        <w:rPr/>
        <w:t>las</w:t>
      </w:r>
      <w:r>
        <w:rPr>
          <w:spacing w:val="-8"/>
        </w:rPr>
        <w:t> </w:t>
      </w:r>
      <w:r>
        <w:rPr/>
        <w:t>cuentas</w:t>
      </w:r>
      <w:r>
        <w:rPr>
          <w:spacing w:val="-6"/>
        </w:rPr>
        <w:t> </w:t>
      </w:r>
      <w:r>
        <w:rPr/>
        <w:t>anuales</w:t>
      </w:r>
      <w:r>
        <w:rPr>
          <w:spacing w:val="-8"/>
        </w:rPr>
        <w:t> </w:t>
      </w:r>
      <w:r>
        <w:rPr/>
        <w:t>abreviadas</w:t>
      </w:r>
      <w:r>
        <w:rPr>
          <w:spacing w:val="-6"/>
        </w:rPr>
        <w:t> </w:t>
      </w:r>
      <w:r>
        <w:rPr/>
        <w:t>ha</w:t>
      </w:r>
      <w:r>
        <w:rPr>
          <w:spacing w:val="-8"/>
        </w:rPr>
        <w:t> </w:t>
      </w:r>
      <w:r>
        <w:rPr/>
        <w:t>requerido la aplicación de otras estimaciones contables relevantes y la realización de juicios, estimaciones e hipótesis en el proceso de aplicación de las políticas contables de la Sociedad. En este sentido, se resumen a continuación un detalle de los aspectos que han implicado un mayor grado de juicio, complejidad</w:t>
      </w:r>
      <w:r>
        <w:rPr>
          <w:spacing w:val="-14"/>
        </w:rPr>
        <w:t> </w:t>
      </w:r>
      <w:r>
        <w:rPr/>
        <w:t>o</w:t>
      </w:r>
      <w:r>
        <w:rPr>
          <w:spacing w:val="-14"/>
        </w:rPr>
        <w:t> </w:t>
      </w:r>
      <w:r>
        <w:rPr/>
        <w:t>en</w:t>
      </w:r>
      <w:r>
        <w:rPr>
          <w:spacing w:val="-14"/>
        </w:rPr>
        <w:t> </w:t>
      </w:r>
      <w:r>
        <w:rPr/>
        <w:t>los</w:t>
      </w:r>
      <w:r>
        <w:rPr>
          <w:spacing w:val="-13"/>
        </w:rPr>
        <w:t> </w:t>
      </w:r>
      <w:r>
        <w:rPr/>
        <w:t>que</w:t>
      </w:r>
      <w:r>
        <w:rPr>
          <w:spacing w:val="-14"/>
        </w:rPr>
        <w:t> </w:t>
      </w:r>
      <w:r>
        <w:rPr/>
        <w:t>las</w:t>
      </w:r>
      <w:r>
        <w:rPr>
          <w:spacing w:val="-14"/>
        </w:rPr>
        <w:t> </w:t>
      </w:r>
      <w:r>
        <w:rPr/>
        <w:t>incertidumbres</w:t>
      </w:r>
      <w:r>
        <w:rPr>
          <w:spacing w:val="-14"/>
        </w:rPr>
        <w:t> </w:t>
      </w:r>
      <w:r>
        <w:rPr/>
        <w:t>y</w:t>
      </w:r>
      <w:r>
        <w:rPr>
          <w:spacing w:val="-13"/>
        </w:rPr>
        <w:t> </w:t>
      </w:r>
      <w:r>
        <w:rPr/>
        <w:t>estimaciones</w:t>
      </w:r>
      <w:r>
        <w:rPr>
          <w:spacing w:val="-14"/>
        </w:rPr>
        <w:t> </w:t>
      </w:r>
      <w:r>
        <w:rPr/>
        <w:t>son</w:t>
      </w:r>
      <w:r>
        <w:rPr>
          <w:spacing w:val="-14"/>
        </w:rPr>
        <w:t> </w:t>
      </w:r>
      <w:r>
        <w:rPr/>
        <w:t>significativas</w:t>
      </w:r>
      <w:r>
        <w:rPr>
          <w:spacing w:val="-14"/>
        </w:rPr>
        <w:t> </w:t>
      </w:r>
      <w:r>
        <w:rPr/>
        <w:t>para</w:t>
      </w:r>
      <w:r>
        <w:rPr>
          <w:spacing w:val="-13"/>
        </w:rPr>
        <w:t> </w:t>
      </w:r>
      <w:r>
        <w:rPr/>
        <w:t>la</w:t>
      </w:r>
      <w:r>
        <w:rPr>
          <w:spacing w:val="-14"/>
        </w:rPr>
        <w:t> </w:t>
      </w:r>
      <w:r>
        <w:rPr/>
        <w:t>preparación</w:t>
      </w:r>
      <w:r>
        <w:rPr>
          <w:spacing w:val="-14"/>
        </w:rPr>
        <w:t> </w:t>
      </w:r>
      <w:r>
        <w:rPr/>
        <w:t>de las cuentas anuales abreviadas:</w:t>
      </w:r>
    </w:p>
    <w:p>
      <w:pPr>
        <w:pStyle w:val="BodyText"/>
        <w:spacing w:before="174"/>
      </w:pPr>
    </w:p>
    <w:p>
      <w:pPr>
        <w:pStyle w:val="BodyText"/>
        <w:ind w:left="1277"/>
      </w:pPr>
      <w:r>
        <w:rPr>
          <w:spacing w:val="-4"/>
          <w:u w:val="single"/>
        </w:rPr>
        <w:t>Estimaciones</w:t>
      </w:r>
      <w:r>
        <w:rPr>
          <w:spacing w:val="-3"/>
          <w:u w:val="single"/>
        </w:rPr>
        <w:t> </w:t>
      </w:r>
      <w:r>
        <w:rPr>
          <w:spacing w:val="-4"/>
          <w:u w:val="single"/>
        </w:rPr>
        <w:t>acerca</w:t>
      </w:r>
      <w:r>
        <w:rPr>
          <w:spacing w:val="-3"/>
          <w:u w:val="single"/>
        </w:rPr>
        <w:t> </w:t>
      </w:r>
      <w:r>
        <w:rPr>
          <w:spacing w:val="-4"/>
          <w:u w:val="single"/>
        </w:rPr>
        <w:t>de</w:t>
      </w:r>
      <w:r>
        <w:rPr>
          <w:spacing w:val="-2"/>
          <w:u w:val="single"/>
        </w:rPr>
        <w:t> </w:t>
      </w:r>
      <w:r>
        <w:rPr>
          <w:spacing w:val="-4"/>
          <w:u w:val="single"/>
        </w:rPr>
        <w:t>la</w:t>
      </w:r>
      <w:r>
        <w:rPr>
          <w:spacing w:val="-3"/>
          <w:u w:val="single"/>
        </w:rPr>
        <w:t> </w:t>
      </w:r>
      <w:r>
        <w:rPr>
          <w:spacing w:val="-4"/>
          <w:u w:val="single"/>
        </w:rPr>
        <w:t>incertidumbre</w:t>
      </w:r>
      <w:r>
        <w:rPr>
          <w:spacing w:val="-1"/>
          <w:u w:val="single"/>
        </w:rPr>
        <w:t> </w:t>
      </w:r>
      <w:r>
        <w:rPr>
          <w:spacing w:val="-4"/>
          <w:u w:val="single"/>
        </w:rPr>
        <w:t>de</w:t>
      </w:r>
      <w:r>
        <w:rPr>
          <w:spacing w:val="-5"/>
          <w:u w:val="single"/>
        </w:rPr>
        <w:t> </w:t>
      </w:r>
      <w:r>
        <w:rPr>
          <w:spacing w:val="-4"/>
          <w:u w:val="single"/>
        </w:rPr>
        <w:t>las</w:t>
      </w:r>
      <w:r>
        <w:rPr>
          <w:spacing w:val="-2"/>
          <w:u w:val="single"/>
        </w:rPr>
        <w:t> </w:t>
      </w:r>
      <w:r>
        <w:rPr>
          <w:spacing w:val="-4"/>
          <w:u w:val="single"/>
        </w:rPr>
        <w:t>desviaciones</w:t>
      </w:r>
      <w:r>
        <w:rPr>
          <w:spacing w:val="-2"/>
          <w:u w:val="single"/>
        </w:rPr>
        <w:t> </w:t>
      </w:r>
      <w:r>
        <w:rPr>
          <w:spacing w:val="-4"/>
          <w:u w:val="single"/>
        </w:rPr>
        <w:t>en</w:t>
      </w:r>
      <w:r>
        <w:rPr>
          <w:u w:val="single"/>
        </w:rPr>
        <w:t> </w:t>
      </w:r>
      <w:r>
        <w:rPr>
          <w:spacing w:val="-4"/>
          <w:u w:val="single"/>
        </w:rPr>
        <w:t>coste</w:t>
      </w:r>
      <w:r>
        <w:rPr>
          <w:spacing w:val="-2"/>
          <w:u w:val="single"/>
        </w:rPr>
        <w:t> </w:t>
      </w:r>
      <w:r>
        <w:rPr>
          <w:spacing w:val="-4"/>
          <w:u w:val="single"/>
        </w:rPr>
        <w:t>y</w:t>
      </w:r>
      <w:r>
        <w:rPr>
          <w:u w:val="single"/>
        </w:rPr>
        <w:t> </w:t>
      </w:r>
      <w:r>
        <w:rPr>
          <w:spacing w:val="-4"/>
          <w:u w:val="single"/>
        </w:rPr>
        <w:t>plusvalías</w:t>
      </w:r>
    </w:p>
    <w:p>
      <w:pPr>
        <w:pStyle w:val="BodyText"/>
        <w:spacing w:before="12"/>
      </w:pPr>
    </w:p>
    <w:p>
      <w:pPr>
        <w:pStyle w:val="BodyText"/>
        <w:spacing w:line="247" w:lineRule="auto" w:before="1"/>
        <w:ind w:left="1278" w:right="838"/>
        <w:jc w:val="both"/>
      </w:pPr>
      <w:r>
        <w:rPr/>
        <w:t>Las actuaciones a realizar por la Sociedad en función del Convenio suscrito en junio de 2006 y su posterior Adenda Modificativa (véase nota 1) se financiarán mediante las aportaciones del Ministerio</w:t>
      </w:r>
      <w:r>
        <w:rPr>
          <w:spacing w:val="-2"/>
        </w:rPr>
        <w:t> </w:t>
      </w:r>
      <w:r>
        <w:rPr/>
        <w:t>de</w:t>
      </w:r>
      <w:r>
        <w:rPr>
          <w:spacing w:val="-2"/>
        </w:rPr>
        <w:t> </w:t>
      </w:r>
      <w:r>
        <w:rPr/>
        <w:t>Transportes y</w:t>
      </w:r>
      <w:r>
        <w:rPr>
          <w:spacing w:val="-3"/>
        </w:rPr>
        <w:t> </w:t>
      </w:r>
      <w:r>
        <w:rPr/>
        <w:t>Movilidad</w:t>
      </w:r>
      <w:r>
        <w:rPr>
          <w:spacing w:val="-2"/>
        </w:rPr>
        <w:t> </w:t>
      </w:r>
      <w:r>
        <w:rPr/>
        <w:t>Sostenible</w:t>
      </w:r>
      <w:r>
        <w:rPr>
          <w:spacing w:val="-1"/>
        </w:rPr>
        <w:t> </w:t>
      </w:r>
      <w:r>
        <w:rPr/>
        <w:t>(ADIF-Alta</w:t>
      </w:r>
      <w:r>
        <w:rPr>
          <w:spacing w:val="-1"/>
        </w:rPr>
        <w:t> </w:t>
      </w:r>
      <w:r>
        <w:rPr/>
        <w:t>Velocidad),</w:t>
      </w:r>
      <w:r>
        <w:rPr>
          <w:spacing w:val="-1"/>
        </w:rPr>
        <w:t> </w:t>
      </w:r>
      <w:r>
        <w:rPr/>
        <w:t>Comunidad</w:t>
      </w:r>
      <w:r>
        <w:rPr>
          <w:spacing w:val="-1"/>
        </w:rPr>
        <w:t> </w:t>
      </w:r>
      <w:r>
        <w:rPr/>
        <w:t>Autónoma de la Región de Murcia y del Ayuntamiento de Murcia. La Sociedad, con la formalización de la Adenda Modificativa del Convenio de 2006, ha actualizado los costes de las actuaciones a desarrollar, estimándolos en 617,25 millones de euros, de los que 90,08 millones de euros se ejecutan</w:t>
      </w:r>
      <w:r>
        <w:rPr>
          <w:spacing w:val="-14"/>
        </w:rPr>
        <w:t> </w:t>
      </w:r>
      <w:r>
        <w:rPr/>
        <w:t>directamente</w:t>
      </w:r>
      <w:r>
        <w:rPr>
          <w:spacing w:val="-13"/>
        </w:rPr>
        <w:t> </w:t>
      </w:r>
      <w:r>
        <w:rPr/>
        <w:t>por</w:t>
      </w:r>
      <w:r>
        <w:rPr>
          <w:spacing w:val="-13"/>
        </w:rPr>
        <w:t> </w:t>
      </w:r>
      <w:r>
        <w:rPr/>
        <w:t>el</w:t>
      </w:r>
      <w:r>
        <w:rPr>
          <w:spacing w:val="-14"/>
        </w:rPr>
        <w:t> </w:t>
      </w:r>
      <w:r>
        <w:rPr/>
        <w:t>socio</w:t>
      </w:r>
      <w:r>
        <w:rPr>
          <w:spacing w:val="-13"/>
        </w:rPr>
        <w:t> </w:t>
      </w:r>
      <w:r>
        <w:rPr/>
        <w:t>ADIF-Alta</w:t>
      </w:r>
      <w:r>
        <w:rPr>
          <w:spacing w:val="-14"/>
        </w:rPr>
        <w:t> </w:t>
      </w:r>
      <w:r>
        <w:rPr/>
        <w:t>Velocidad</w:t>
      </w:r>
      <w:r>
        <w:rPr>
          <w:spacing w:val="-12"/>
        </w:rPr>
        <w:t> </w:t>
      </w:r>
      <w:r>
        <w:rPr/>
        <w:t>y</w:t>
      </w:r>
      <w:r>
        <w:rPr>
          <w:spacing w:val="-13"/>
        </w:rPr>
        <w:t> </w:t>
      </w:r>
      <w:r>
        <w:rPr/>
        <w:t>serán</w:t>
      </w:r>
      <w:r>
        <w:rPr>
          <w:spacing w:val="-14"/>
        </w:rPr>
        <w:t> </w:t>
      </w:r>
      <w:r>
        <w:rPr/>
        <w:t>refacturados</w:t>
      </w:r>
      <w:r>
        <w:rPr>
          <w:spacing w:val="-13"/>
        </w:rPr>
        <w:t> </w:t>
      </w:r>
      <w:r>
        <w:rPr/>
        <w:t>al</w:t>
      </w:r>
      <w:r>
        <w:rPr>
          <w:spacing w:val="-13"/>
        </w:rPr>
        <w:t> </w:t>
      </w:r>
      <w:r>
        <w:rPr/>
        <w:t>resto</w:t>
      </w:r>
      <w:r>
        <w:rPr>
          <w:spacing w:val="-14"/>
        </w:rPr>
        <w:t> </w:t>
      </w:r>
      <w:r>
        <w:rPr/>
        <w:t>de</w:t>
      </w:r>
      <w:r>
        <w:rPr>
          <w:spacing w:val="-13"/>
        </w:rPr>
        <w:t> </w:t>
      </w:r>
      <w:r>
        <w:rPr/>
        <w:t>accionistas en</w:t>
      </w:r>
      <w:r>
        <w:rPr>
          <w:spacing w:val="-1"/>
        </w:rPr>
        <w:t> </w:t>
      </w:r>
      <w:r>
        <w:rPr/>
        <w:t>función</w:t>
      </w:r>
      <w:r>
        <w:rPr>
          <w:spacing w:val="-2"/>
        </w:rPr>
        <w:t> </w:t>
      </w:r>
      <w:r>
        <w:rPr/>
        <w:t>de</w:t>
      </w:r>
      <w:r>
        <w:rPr>
          <w:spacing w:val="-4"/>
        </w:rPr>
        <w:t> </w:t>
      </w:r>
      <w:r>
        <w:rPr/>
        <w:t>los</w:t>
      </w:r>
      <w:r>
        <w:rPr>
          <w:spacing w:val="-2"/>
        </w:rPr>
        <w:t> </w:t>
      </w:r>
      <w:r>
        <w:rPr/>
        <w:t>porcentajes</w:t>
      </w:r>
      <w:r>
        <w:rPr>
          <w:spacing w:val="-2"/>
        </w:rPr>
        <w:t> </w:t>
      </w:r>
      <w:r>
        <w:rPr/>
        <w:t>del exponendo III</w:t>
      </w:r>
      <w:r>
        <w:rPr>
          <w:spacing w:val="-6"/>
        </w:rPr>
        <w:t> </w:t>
      </w:r>
      <w:r>
        <w:rPr/>
        <w:t>de</w:t>
      </w:r>
      <w:r>
        <w:rPr>
          <w:spacing w:val="-2"/>
        </w:rPr>
        <w:t> </w:t>
      </w:r>
      <w:r>
        <w:rPr/>
        <w:t>la</w:t>
      </w:r>
      <w:r>
        <w:rPr>
          <w:spacing w:val="-4"/>
        </w:rPr>
        <w:t> </w:t>
      </w:r>
      <w:r>
        <w:rPr/>
        <w:t>Adenda</w:t>
      </w:r>
      <w:r>
        <w:rPr>
          <w:spacing w:val="-1"/>
        </w:rPr>
        <w:t> </w:t>
      </w:r>
      <w:r>
        <w:rPr/>
        <w:t>Modificativa</w:t>
      </w:r>
      <w:r>
        <w:rPr>
          <w:spacing w:val="-1"/>
        </w:rPr>
        <w:t> </w:t>
      </w:r>
      <w:r>
        <w:rPr/>
        <w:t>del Convenio</w:t>
      </w:r>
      <w:r>
        <w:rPr>
          <w:spacing w:val="-2"/>
        </w:rPr>
        <w:t> </w:t>
      </w:r>
      <w:r>
        <w:rPr/>
        <w:t>de</w:t>
      </w:r>
      <w:r>
        <w:rPr>
          <w:spacing w:val="-2"/>
        </w:rPr>
        <w:t> </w:t>
      </w:r>
      <w:r>
        <w:rPr/>
        <w:t>2006.</w:t>
      </w:r>
    </w:p>
    <w:p>
      <w:pPr>
        <w:pStyle w:val="BodyText"/>
      </w:pPr>
    </w:p>
    <w:p>
      <w:pPr>
        <w:pStyle w:val="BodyText"/>
        <w:spacing w:line="247" w:lineRule="auto"/>
        <w:ind w:left="1278" w:right="837"/>
        <w:jc w:val="both"/>
      </w:pPr>
      <w:r>
        <w:rPr/>
        <w:t>Las actuaciones ferroviarias que se ejecuten serán entregadas a ADIF-Alta Velocidad recibiendo como</w:t>
      </w:r>
      <w:r>
        <w:rPr>
          <w:spacing w:val="-14"/>
        </w:rPr>
        <w:t> </w:t>
      </w:r>
      <w:r>
        <w:rPr/>
        <w:t>contraprestación</w:t>
      </w:r>
      <w:r>
        <w:rPr>
          <w:spacing w:val="-14"/>
        </w:rPr>
        <w:t> </w:t>
      </w:r>
      <w:r>
        <w:rPr/>
        <w:t>la</w:t>
      </w:r>
      <w:r>
        <w:rPr>
          <w:spacing w:val="-14"/>
        </w:rPr>
        <w:t> </w:t>
      </w:r>
      <w:r>
        <w:rPr/>
        <w:t>Sociedad</w:t>
      </w:r>
      <w:r>
        <w:rPr>
          <w:spacing w:val="-13"/>
        </w:rPr>
        <w:t> </w:t>
      </w:r>
      <w:r>
        <w:rPr/>
        <w:t>terrenos</w:t>
      </w:r>
      <w:r>
        <w:rPr>
          <w:spacing w:val="-14"/>
        </w:rPr>
        <w:t> </w:t>
      </w:r>
      <w:r>
        <w:rPr/>
        <w:t>de</w:t>
      </w:r>
      <w:r>
        <w:rPr>
          <w:spacing w:val="-14"/>
        </w:rPr>
        <w:t> </w:t>
      </w:r>
      <w:r>
        <w:rPr/>
        <w:t>titularidad</w:t>
      </w:r>
      <w:r>
        <w:rPr>
          <w:spacing w:val="-14"/>
        </w:rPr>
        <w:t> </w:t>
      </w:r>
      <w:r>
        <w:rPr/>
        <w:t>de</w:t>
      </w:r>
      <w:r>
        <w:rPr>
          <w:spacing w:val="-13"/>
        </w:rPr>
        <w:t> </w:t>
      </w:r>
      <w:r>
        <w:rPr/>
        <w:t>los</w:t>
      </w:r>
      <w:r>
        <w:rPr>
          <w:spacing w:val="-14"/>
        </w:rPr>
        <w:t> </w:t>
      </w:r>
      <w:r>
        <w:rPr/>
        <w:t>administradores</w:t>
      </w:r>
      <w:r>
        <w:rPr>
          <w:spacing w:val="-14"/>
        </w:rPr>
        <w:t> </w:t>
      </w:r>
      <w:r>
        <w:rPr/>
        <w:t>de</w:t>
      </w:r>
      <w:r>
        <w:rPr>
          <w:spacing w:val="-14"/>
        </w:rPr>
        <w:t> </w:t>
      </w:r>
      <w:r>
        <w:rPr/>
        <w:t>infraestructuras ferroviarias</w:t>
      </w:r>
      <w:r>
        <w:rPr>
          <w:spacing w:val="-6"/>
        </w:rPr>
        <w:t> </w:t>
      </w:r>
      <w:r>
        <w:rPr/>
        <w:t>una</w:t>
      </w:r>
      <w:r>
        <w:rPr>
          <w:spacing w:val="-6"/>
        </w:rPr>
        <w:t> </w:t>
      </w:r>
      <w:r>
        <w:rPr/>
        <w:t>vez</w:t>
      </w:r>
      <w:r>
        <w:rPr>
          <w:spacing w:val="-7"/>
        </w:rPr>
        <w:t> </w:t>
      </w:r>
      <w:r>
        <w:rPr/>
        <w:t>liberados</w:t>
      </w:r>
      <w:r>
        <w:rPr>
          <w:spacing w:val="-5"/>
        </w:rPr>
        <w:t> </w:t>
      </w:r>
      <w:r>
        <w:rPr/>
        <w:t>de</w:t>
      </w:r>
      <w:r>
        <w:rPr>
          <w:spacing w:val="-6"/>
        </w:rPr>
        <w:t> </w:t>
      </w:r>
      <w:r>
        <w:rPr/>
        <w:t>uso</w:t>
      </w:r>
      <w:r>
        <w:rPr>
          <w:spacing w:val="-7"/>
        </w:rPr>
        <w:t> </w:t>
      </w:r>
      <w:r>
        <w:rPr/>
        <w:t>ferroviario.</w:t>
      </w:r>
      <w:r>
        <w:rPr>
          <w:spacing w:val="-4"/>
        </w:rPr>
        <w:t> </w:t>
      </w:r>
      <w:r>
        <w:rPr/>
        <w:t>El</w:t>
      </w:r>
      <w:r>
        <w:rPr>
          <w:spacing w:val="-6"/>
        </w:rPr>
        <w:t> </w:t>
      </w:r>
      <w:r>
        <w:rPr/>
        <w:t>valor</w:t>
      </w:r>
      <w:r>
        <w:rPr>
          <w:spacing w:val="-5"/>
        </w:rPr>
        <w:t> </w:t>
      </w:r>
      <w:r>
        <w:rPr/>
        <w:t>de</w:t>
      </w:r>
      <w:r>
        <w:rPr>
          <w:spacing w:val="-6"/>
        </w:rPr>
        <w:t> </w:t>
      </w:r>
      <w:r>
        <w:rPr/>
        <w:t>dichas</w:t>
      </w:r>
      <w:r>
        <w:rPr>
          <w:spacing w:val="-6"/>
        </w:rPr>
        <w:t> </w:t>
      </w:r>
      <w:r>
        <w:rPr/>
        <w:t>actuaciones</w:t>
      </w:r>
      <w:r>
        <w:rPr>
          <w:spacing w:val="-5"/>
        </w:rPr>
        <w:t> </w:t>
      </w:r>
      <w:r>
        <w:rPr/>
        <w:t>ferroviarias</w:t>
      </w:r>
      <w:r>
        <w:rPr>
          <w:spacing w:val="-4"/>
        </w:rPr>
        <w:t> </w:t>
      </w:r>
      <w:r>
        <w:rPr/>
        <w:t>más</w:t>
      </w:r>
      <w:r>
        <w:rPr>
          <w:spacing w:val="-6"/>
        </w:rPr>
        <w:t> </w:t>
      </w:r>
      <w:r>
        <w:rPr/>
        <w:t>la parte correspondiente de los gastos operativos y financieros, deberá coincidir con el valor de los terrenos recibidos como contraprestación más, en su caso, las cantidades monetarias correspondientes. La contraprestación monetaria ascenderá como máximo a las aportaciones que, según</w:t>
      </w:r>
      <w:r>
        <w:rPr>
          <w:spacing w:val="-11"/>
        </w:rPr>
        <w:t> </w:t>
      </w:r>
      <w:r>
        <w:rPr/>
        <w:t>lo</w:t>
      </w:r>
      <w:r>
        <w:rPr>
          <w:spacing w:val="-11"/>
        </w:rPr>
        <w:t> </w:t>
      </w:r>
      <w:r>
        <w:rPr/>
        <w:t>previsto</w:t>
      </w:r>
      <w:r>
        <w:rPr>
          <w:spacing w:val="-11"/>
        </w:rPr>
        <w:t> </w:t>
      </w:r>
      <w:r>
        <w:rPr/>
        <w:t>en</w:t>
      </w:r>
      <w:r>
        <w:rPr>
          <w:spacing w:val="-13"/>
        </w:rPr>
        <w:t> </w:t>
      </w:r>
      <w:r>
        <w:rPr/>
        <w:t>la</w:t>
      </w:r>
      <w:r>
        <w:rPr>
          <w:spacing w:val="-11"/>
        </w:rPr>
        <w:t> </w:t>
      </w:r>
      <w:r>
        <w:rPr/>
        <w:t>Adenda</w:t>
      </w:r>
      <w:r>
        <w:rPr>
          <w:spacing w:val="-11"/>
        </w:rPr>
        <w:t> </w:t>
      </w:r>
      <w:r>
        <w:rPr/>
        <w:t>Modificativa,</w:t>
      </w:r>
      <w:r>
        <w:rPr>
          <w:spacing w:val="-11"/>
        </w:rPr>
        <w:t> </w:t>
      </w:r>
      <w:r>
        <w:rPr/>
        <w:t>deba</w:t>
      </w:r>
      <w:r>
        <w:rPr>
          <w:spacing w:val="-13"/>
        </w:rPr>
        <w:t> </w:t>
      </w:r>
      <w:r>
        <w:rPr/>
        <w:t>realizar</w:t>
      </w:r>
      <w:r>
        <w:rPr>
          <w:spacing w:val="-11"/>
        </w:rPr>
        <w:t> </w:t>
      </w:r>
      <w:r>
        <w:rPr/>
        <w:t>ADIF-Alta</w:t>
      </w:r>
      <w:r>
        <w:rPr>
          <w:spacing w:val="-11"/>
        </w:rPr>
        <w:t> </w:t>
      </w:r>
      <w:r>
        <w:rPr/>
        <w:t>Velocidad</w:t>
      </w:r>
      <w:r>
        <w:rPr>
          <w:spacing w:val="-11"/>
        </w:rPr>
        <w:t> </w:t>
      </w:r>
      <w:r>
        <w:rPr/>
        <w:t>y</w:t>
      </w:r>
      <w:r>
        <w:rPr>
          <w:spacing w:val="-13"/>
        </w:rPr>
        <w:t> </w:t>
      </w:r>
      <w:r>
        <w:rPr/>
        <w:t>que</w:t>
      </w:r>
      <w:r>
        <w:rPr>
          <w:spacing w:val="-12"/>
        </w:rPr>
        <w:t> </w:t>
      </w:r>
      <w:r>
        <w:rPr/>
        <w:t>no</w:t>
      </w:r>
      <w:r>
        <w:rPr>
          <w:spacing w:val="-12"/>
        </w:rPr>
        <w:t> </w:t>
      </w:r>
      <w:r>
        <w:rPr/>
        <w:t>hubiesen podido ser devueltas, de acuerdo con lo establecido en su cláusula décima de la Adenda </w:t>
      </w:r>
      <w:r>
        <w:rPr>
          <w:spacing w:val="-2"/>
        </w:rPr>
        <w:t>Modificativa.</w:t>
      </w:r>
    </w:p>
    <w:p>
      <w:pPr>
        <w:pStyle w:val="BodyText"/>
        <w:spacing w:before="3"/>
      </w:pPr>
    </w:p>
    <w:p>
      <w:pPr>
        <w:pStyle w:val="BodyText"/>
        <w:spacing w:line="244" w:lineRule="auto" w:before="1"/>
        <w:ind w:left="1278" w:right="840"/>
        <w:jc w:val="both"/>
      </w:pPr>
      <w:r>
        <w:rPr/>
        <w:t>Por</w:t>
      </w:r>
      <w:r>
        <w:rPr>
          <w:spacing w:val="-6"/>
        </w:rPr>
        <w:t> </w:t>
      </w:r>
      <w:r>
        <w:rPr/>
        <w:t>otra</w:t>
      </w:r>
      <w:r>
        <w:rPr>
          <w:spacing w:val="-7"/>
        </w:rPr>
        <w:t> </w:t>
      </w:r>
      <w:r>
        <w:rPr/>
        <w:t>parte,</w:t>
      </w:r>
      <w:r>
        <w:rPr>
          <w:spacing w:val="-7"/>
        </w:rPr>
        <w:t> </w:t>
      </w:r>
      <w:r>
        <w:rPr/>
        <w:t>el</w:t>
      </w:r>
      <w:r>
        <w:rPr>
          <w:spacing w:val="-6"/>
        </w:rPr>
        <w:t> </w:t>
      </w:r>
      <w:r>
        <w:rPr/>
        <w:t>valor</w:t>
      </w:r>
      <w:r>
        <w:rPr>
          <w:spacing w:val="-6"/>
        </w:rPr>
        <w:t> </w:t>
      </w:r>
      <w:r>
        <w:rPr/>
        <w:t>de</w:t>
      </w:r>
      <w:r>
        <w:rPr>
          <w:spacing w:val="-7"/>
        </w:rPr>
        <w:t> </w:t>
      </w:r>
      <w:r>
        <w:rPr/>
        <w:t>las</w:t>
      </w:r>
      <w:r>
        <w:rPr>
          <w:spacing w:val="-7"/>
        </w:rPr>
        <w:t> </w:t>
      </w:r>
      <w:r>
        <w:rPr/>
        <w:t>actuaciones</w:t>
      </w:r>
      <w:r>
        <w:rPr>
          <w:spacing w:val="-6"/>
        </w:rPr>
        <w:t> </w:t>
      </w:r>
      <w:r>
        <w:rPr/>
        <w:t>no</w:t>
      </w:r>
      <w:r>
        <w:rPr>
          <w:spacing w:val="-6"/>
        </w:rPr>
        <w:t> </w:t>
      </w:r>
      <w:r>
        <w:rPr/>
        <w:t>ferroviarias</w:t>
      </w:r>
      <w:r>
        <w:rPr>
          <w:spacing w:val="-4"/>
        </w:rPr>
        <w:t> </w:t>
      </w:r>
      <w:r>
        <w:rPr/>
        <w:t>más</w:t>
      </w:r>
      <w:r>
        <w:rPr>
          <w:spacing w:val="-7"/>
        </w:rPr>
        <w:t> </w:t>
      </w:r>
      <w:r>
        <w:rPr/>
        <w:t>la</w:t>
      </w:r>
      <w:r>
        <w:rPr>
          <w:spacing w:val="-7"/>
        </w:rPr>
        <w:t> </w:t>
      </w:r>
      <w:r>
        <w:rPr/>
        <w:t>parte</w:t>
      </w:r>
      <w:r>
        <w:rPr>
          <w:spacing w:val="-7"/>
        </w:rPr>
        <w:t> </w:t>
      </w:r>
      <w:r>
        <w:rPr/>
        <w:t>correspondiente</w:t>
      </w:r>
      <w:r>
        <w:rPr>
          <w:spacing w:val="-6"/>
        </w:rPr>
        <w:t> </w:t>
      </w:r>
      <w:r>
        <w:rPr/>
        <w:t>de</w:t>
      </w:r>
      <w:r>
        <w:rPr>
          <w:spacing w:val="-7"/>
        </w:rPr>
        <w:t> </w:t>
      </w:r>
      <w:r>
        <w:rPr/>
        <w:t>los</w:t>
      </w:r>
      <w:r>
        <w:rPr>
          <w:spacing w:val="-7"/>
        </w:rPr>
        <w:t> </w:t>
      </w:r>
      <w:r>
        <w:rPr/>
        <w:t>gastos operativos</w:t>
      </w:r>
      <w:r>
        <w:rPr>
          <w:spacing w:val="-2"/>
        </w:rPr>
        <w:t> </w:t>
      </w:r>
      <w:r>
        <w:rPr/>
        <w:t>y</w:t>
      </w:r>
      <w:r>
        <w:rPr>
          <w:spacing w:val="-1"/>
        </w:rPr>
        <w:t> </w:t>
      </w:r>
      <w:r>
        <w:rPr/>
        <w:t>financieros,</w:t>
      </w:r>
      <w:r>
        <w:rPr>
          <w:spacing w:val="-1"/>
        </w:rPr>
        <w:t> </w:t>
      </w:r>
      <w:r>
        <w:rPr/>
        <w:t>se estima</w:t>
      </w:r>
      <w:r>
        <w:rPr>
          <w:spacing w:val="-2"/>
        </w:rPr>
        <w:t> </w:t>
      </w:r>
      <w:r>
        <w:rPr/>
        <w:t>recuperar</w:t>
      </w:r>
      <w:r>
        <w:rPr>
          <w:spacing w:val="-1"/>
        </w:rPr>
        <w:t> </w:t>
      </w:r>
      <w:r>
        <w:rPr/>
        <w:t>mediante las</w:t>
      </w:r>
      <w:r>
        <w:rPr>
          <w:spacing w:val="-2"/>
        </w:rPr>
        <w:t> </w:t>
      </w:r>
      <w:r>
        <w:rPr/>
        <w:t>plusvalías</w:t>
      </w:r>
      <w:r>
        <w:rPr>
          <w:spacing w:val="-2"/>
        </w:rPr>
        <w:t> </w:t>
      </w:r>
      <w:r>
        <w:rPr/>
        <w:t>obtenidas</w:t>
      </w:r>
      <w:r>
        <w:rPr>
          <w:spacing w:val="-1"/>
        </w:rPr>
        <w:t> </w:t>
      </w:r>
      <w:r>
        <w:rPr/>
        <w:t>por</w:t>
      </w:r>
      <w:r>
        <w:rPr>
          <w:spacing w:val="-2"/>
        </w:rPr>
        <w:t> </w:t>
      </w:r>
      <w:r>
        <w:rPr/>
        <w:t>la</w:t>
      </w:r>
      <w:r>
        <w:rPr>
          <w:spacing w:val="-2"/>
        </w:rPr>
        <w:t> </w:t>
      </w:r>
      <w:r>
        <w:rPr/>
        <w:t>venta</w:t>
      </w:r>
      <w:r>
        <w:rPr>
          <w:spacing w:val="-1"/>
        </w:rPr>
        <w:t> </w:t>
      </w:r>
      <w:r>
        <w:rPr/>
        <w:t>de </w:t>
      </w:r>
      <w:r>
        <w:rPr>
          <w:spacing w:val="-5"/>
        </w:rPr>
        <w:t>los</w:t>
      </w:r>
    </w:p>
    <w:p>
      <w:pPr>
        <w:pStyle w:val="BodyText"/>
        <w:spacing w:after="0" w:line="244" w:lineRule="auto"/>
        <w:jc w:val="both"/>
        <w:sectPr>
          <w:pgSz w:w="11910" w:h="16840"/>
          <w:pgMar w:header="694" w:footer="690" w:top="1920" w:bottom="880" w:left="708" w:right="425"/>
        </w:sectPr>
      </w:pPr>
    </w:p>
    <w:p>
      <w:pPr>
        <w:pStyle w:val="BodyText"/>
        <w:spacing w:line="247" w:lineRule="auto" w:before="187"/>
        <w:ind w:left="1278" w:right="841"/>
        <w:jc w:val="both"/>
      </w:pPr>
      <w:r>
        <w:rPr/>
        <w:t>terrenos</w:t>
      </w:r>
      <w:r>
        <w:rPr>
          <w:spacing w:val="-6"/>
        </w:rPr>
        <w:t> </w:t>
      </w:r>
      <w:r>
        <w:rPr/>
        <w:t>de</w:t>
      </w:r>
      <w:r>
        <w:rPr>
          <w:spacing w:val="-6"/>
        </w:rPr>
        <w:t> </w:t>
      </w:r>
      <w:r>
        <w:rPr/>
        <w:t>titularidad</w:t>
      </w:r>
      <w:r>
        <w:rPr>
          <w:spacing w:val="-6"/>
        </w:rPr>
        <w:t> </w:t>
      </w:r>
      <w:r>
        <w:rPr/>
        <w:t>de</w:t>
      </w:r>
      <w:r>
        <w:rPr>
          <w:spacing w:val="-6"/>
        </w:rPr>
        <w:t> </w:t>
      </w:r>
      <w:r>
        <w:rPr/>
        <w:t>la</w:t>
      </w:r>
      <w:r>
        <w:rPr>
          <w:spacing w:val="-7"/>
        </w:rPr>
        <w:t> </w:t>
      </w:r>
      <w:r>
        <w:rPr/>
        <w:t>Sociedad</w:t>
      </w:r>
      <w:r>
        <w:rPr>
          <w:spacing w:val="-6"/>
        </w:rPr>
        <w:t> </w:t>
      </w:r>
      <w:r>
        <w:rPr/>
        <w:t>resultantes</w:t>
      </w:r>
      <w:r>
        <w:rPr>
          <w:spacing w:val="-6"/>
        </w:rPr>
        <w:t> </w:t>
      </w:r>
      <w:r>
        <w:rPr/>
        <w:t>de</w:t>
      </w:r>
      <w:r>
        <w:rPr>
          <w:spacing w:val="-6"/>
        </w:rPr>
        <w:t> </w:t>
      </w:r>
      <w:r>
        <w:rPr/>
        <w:t>la</w:t>
      </w:r>
      <w:r>
        <w:rPr>
          <w:spacing w:val="-6"/>
        </w:rPr>
        <w:t> </w:t>
      </w:r>
      <w:r>
        <w:rPr/>
        <w:t>desafectación</w:t>
      </w:r>
      <w:r>
        <w:rPr>
          <w:spacing w:val="-6"/>
        </w:rPr>
        <w:t> </w:t>
      </w:r>
      <w:r>
        <w:rPr/>
        <w:t>del</w:t>
      </w:r>
      <w:r>
        <w:rPr>
          <w:spacing w:val="-5"/>
        </w:rPr>
        <w:t> </w:t>
      </w:r>
      <w:r>
        <w:rPr/>
        <w:t>uso</w:t>
      </w:r>
      <w:r>
        <w:rPr>
          <w:spacing w:val="-6"/>
        </w:rPr>
        <w:t> </w:t>
      </w:r>
      <w:r>
        <w:rPr/>
        <w:t>ferroviario</w:t>
      </w:r>
      <w:r>
        <w:rPr>
          <w:spacing w:val="-6"/>
        </w:rPr>
        <w:t> </w:t>
      </w:r>
      <w:r>
        <w:rPr/>
        <w:t>y</w:t>
      </w:r>
      <w:r>
        <w:rPr>
          <w:spacing w:val="-6"/>
        </w:rPr>
        <w:t> </w:t>
      </w:r>
      <w:r>
        <w:rPr/>
        <w:t>mediante el aprovechamiento urbanístico del 10% cedido por el Ayuntamiento de Murcia a la Sociedad.</w:t>
      </w:r>
    </w:p>
    <w:p>
      <w:pPr>
        <w:pStyle w:val="BodyText"/>
        <w:spacing w:before="2"/>
      </w:pPr>
    </w:p>
    <w:p>
      <w:pPr>
        <w:pStyle w:val="BodyText"/>
        <w:spacing w:line="247" w:lineRule="auto"/>
        <w:ind w:left="1278" w:right="840"/>
        <w:jc w:val="both"/>
      </w:pPr>
      <w:r>
        <w:rPr/>
        <w:t>El valor por el que en el futuro se enajenarán los terrenos y el coste final de las obras a acometer suponen estimaciones complejas y significativas. En el caso que existan desviaciones, las diferencias</w:t>
      </w:r>
      <w:r>
        <w:rPr>
          <w:spacing w:val="-13"/>
        </w:rPr>
        <w:t> </w:t>
      </w:r>
      <w:r>
        <w:rPr/>
        <w:t>de</w:t>
      </w:r>
      <w:r>
        <w:rPr>
          <w:spacing w:val="-12"/>
        </w:rPr>
        <w:t> </w:t>
      </w:r>
      <w:r>
        <w:rPr/>
        <w:t>valoración</w:t>
      </w:r>
      <w:r>
        <w:rPr>
          <w:spacing w:val="-13"/>
        </w:rPr>
        <w:t> </w:t>
      </w:r>
      <w:r>
        <w:rPr/>
        <w:t>que</w:t>
      </w:r>
      <w:r>
        <w:rPr>
          <w:spacing w:val="-13"/>
        </w:rPr>
        <w:t> </w:t>
      </w:r>
      <w:r>
        <w:rPr/>
        <w:t>se</w:t>
      </w:r>
      <w:r>
        <w:rPr>
          <w:spacing w:val="-12"/>
        </w:rPr>
        <w:t> </w:t>
      </w:r>
      <w:r>
        <w:rPr/>
        <w:t>produzcan</w:t>
      </w:r>
      <w:r>
        <w:rPr>
          <w:spacing w:val="-13"/>
        </w:rPr>
        <w:t> </w:t>
      </w:r>
      <w:r>
        <w:rPr/>
        <w:t>cuando</w:t>
      </w:r>
      <w:r>
        <w:rPr>
          <w:spacing w:val="-13"/>
        </w:rPr>
        <w:t> </w:t>
      </w:r>
      <w:r>
        <w:rPr/>
        <w:t>la</w:t>
      </w:r>
      <w:r>
        <w:rPr>
          <w:spacing w:val="-12"/>
        </w:rPr>
        <w:t> </w:t>
      </w:r>
      <w:r>
        <w:rPr/>
        <w:t>Sociedad</w:t>
      </w:r>
      <w:r>
        <w:rPr>
          <w:spacing w:val="-13"/>
        </w:rPr>
        <w:t> </w:t>
      </w:r>
      <w:r>
        <w:rPr/>
        <w:t>haya</w:t>
      </w:r>
      <w:r>
        <w:rPr>
          <w:spacing w:val="-13"/>
        </w:rPr>
        <w:t> </w:t>
      </w:r>
      <w:r>
        <w:rPr/>
        <w:t>dado</w:t>
      </w:r>
      <w:r>
        <w:rPr>
          <w:spacing w:val="-13"/>
        </w:rPr>
        <w:t> </w:t>
      </w:r>
      <w:r>
        <w:rPr/>
        <w:t>de</w:t>
      </w:r>
      <w:r>
        <w:rPr>
          <w:spacing w:val="-13"/>
        </w:rPr>
        <w:t> </w:t>
      </w:r>
      <w:r>
        <w:rPr/>
        <w:t>baja</w:t>
      </w:r>
      <w:r>
        <w:rPr>
          <w:spacing w:val="-13"/>
        </w:rPr>
        <w:t> </w:t>
      </w:r>
      <w:r>
        <w:rPr/>
        <w:t>la</w:t>
      </w:r>
      <w:r>
        <w:rPr>
          <w:spacing w:val="-13"/>
        </w:rPr>
        <w:t> </w:t>
      </w:r>
      <w:r>
        <w:rPr/>
        <w:t>totalidad</w:t>
      </w:r>
      <w:r>
        <w:rPr>
          <w:spacing w:val="-12"/>
        </w:rPr>
        <w:t> </w:t>
      </w:r>
      <w:r>
        <w:rPr/>
        <w:t>de</w:t>
      </w:r>
      <w:r>
        <w:rPr>
          <w:spacing w:val="-12"/>
        </w:rPr>
        <w:t> </w:t>
      </w:r>
      <w:r>
        <w:rPr/>
        <w:t>los elementos</w:t>
      </w:r>
      <w:r>
        <w:rPr>
          <w:spacing w:val="-10"/>
        </w:rPr>
        <w:t> </w:t>
      </w:r>
      <w:r>
        <w:rPr/>
        <w:t>entregados</w:t>
      </w:r>
      <w:r>
        <w:rPr>
          <w:spacing w:val="-10"/>
        </w:rPr>
        <w:t> </w:t>
      </w:r>
      <w:r>
        <w:rPr/>
        <w:t>a</w:t>
      </w:r>
      <w:r>
        <w:rPr>
          <w:spacing w:val="-11"/>
        </w:rPr>
        <w:t> </w:t>
      </w:r>
      <w:r>
        <w:rPr/>
        <w:t>cambio,</w:t>
      </w:r>
      <w:r>
        <w:rPr>
          <w:spacing w:val="-9"/>
        </w:rPr>
        <w:t> </w:t>
      </w:r>
      <w:r>
        <w:rPr/>
        <w:t>serán</w:t>
      </w:r>
      <w:r>
        <w:rPr>
          <w:spacing w:val="-9"/>
        </w:rPr>
        <w:t> </w:t>
      </w:r>
      <w:r>
        <w:rPr/>
        <w:t>tratadas</w:t>
      </w:r>
      <w:r>
        <w:rPr>
          <w:spacing w:val="-10"/>
        </w:rPr>
        <w:t> </w:t>
      </w:r>
      <w:r>
        <w:rPr/>
        <w:t>según</w:t>
      </w:r>
      <w:r>
        <w:rPr>
          <w:spacing w:val="-9"/>
        </w:rPr>
        <w:t> </w:t>
      </w:r>
      <w:r>
        <w:rPr/>
        <w:t>lo</w:t>
      </w:r>
      <w:r>
        <w:rPr>
          <w:spacing w:val="-10"/>
        </w:rPr>
        <w:t> </w:t>
      </w:r>
      <w:r>
        <w:rPr/>
        <w:t>previsto</w:t>
      </w:r>
      <w:r>
        <w:rPr>
          <w:spacing w:val="-9"/>
        </w:rPr>
        <w:t> </w:t>
      </w:r>
      <w:r>
        <w:rPr/>
        <w:t>en</w:t>
      </w:r>
      <w:r>
        <w:rPr>
          <w:spacing w:val="-11"/>
        </w:rPr>
        <w:t> </w:t>
      </w:r>
      <w:r>
        <w:rPr/>
        <w:t>la</w:t>
      </w:r>
      <w:r>
        <w:rPr>
          <w:spacing w:val="-11"/>
        </w:rPr>
        <w:t> </w:t>
      </w:r>
      <w:r>
        <w:rPr/>
        <w:t>Adenda</w:t>
      </w:r>
      <w:r>
        <w:rPr>
          <w:spacing w:val="-9"/>
        </w:rPr>
        <w:t> </w:t>
      </w:r>
      <w:r>
        <w:rPr/>
        <w:t>Modificativa</w:t>
      </w:r>
      <w:r>
        <w:rPr>
          <w:spacing w:val="-10"/>
        </w:rPr>
        <w:t> </w:t>
      </w:r>
      <w:r>
        <w:rPr/>
        <w:t>vigente y</w:t>
      </w:r>
      <w:r>
        <w:rPr>
          <w:spacing w:val="-3"/>
        </w:rPr>
        <w:t> </w:t>
      </w:r>
      <w:r>
        <w:rPr/>
        <w:t>teniendo</w:t>
      </w:r>
      <w:r>
        <w:rPr>
          <w:spacing w:val="-2"/>
        </w:rPr>
        <w:t> </w:t>
      </w:r>
      <w:r>
        <w:rPr/>
        <w:t>en</w:t>
      </w:r>
      <w:r>
        <w:rPr>
          <w:spacing w:val="-6"/>
        </w:rPr>
        <w:t> </w:t>
      </w:r>
      <w:r>
        <w:rPr/>
        <w:t>cuenta</w:t>
      </w:r>
      <w:r>
        <w:rPr>
          <w:spacing w:val="-5"/>
        </w:rPr>
        <w:t> </w:t>
      </w:r>
      <w:r>
        <w:rPr/>
        <w:t>los</w:t>
      </w:r>
      <w:r>
        <w:rPr>
          <w:spacing w:val="-3"/>
        </w:rPr>
        <w:t> </w:t>
      </w:r>
      <w:r>
        <w:rPr/>
        <w:t>compromisos</w:t>
      </w:r>
      <w:r>
        <w:rPr>
          <w:spacing w:val="-3"/>
        </w:rPr>
        <w:t> </w:t>
      </w:r>
      <w:r>
        <w:rPr/>
        <w:t>de</w:t>
      </w:r>
      <w:r>
        <w:rPr>
          <w:spacing w:val="-5"/>
        </w:rPr>
        <w:t> </w:t>
      </w:r>
      <w:r>
        <w:rPr/>
        <w:t>aportación</w:t>
      </w:r>
      <w:r>
        <w:rPr>
          <w:spacing w:val="-3"/>
        </w:rPr>
        <w:t> </w:t>
      </w:r>
      <w:r>
        <w:rPr/>
        <w:t>asumidos</w:t>
      </w:r>
      <w:r>
        <w:rPr>
          <w:spacing w:val="-3"/>
        </w:rPr>
        <w:t> </w:t>
      </w:r>
      <w:r>
        <w:rPr/>
        <w:t>en</w:t>
      </w:r>
      <w:r>
        <w:rPr>
          <w:spacing w:val="-5"/>
        </w:rPr>
        <w:t> </w:t>
      </w:r>
      <w:r>
        <w:rPr/>
        <w:t>la</w:t>
      </w:r>
      <w:r>
        <w:rPr>
          <w:spacing w:val="-5"/>
        </w:rPr>
        <w:t> </w:t>
      </w:r>
      <w:r>
        <w:rPr/>
        <w:t>misma,</w:t>
      </w:r>
      <w:r>
        <w:rPr>
          <w:spacing w:val="-3"/>
        </w:rPr>
        <w:t> </w:t>
      </w:r>
      <w:r>
        <w:rPr/>
        <w:t>así</w:t>
      </w:r>
      <w:r>
        <w:rPr>
          <w:spacing w:val="-1"/>
        </w:rPr>
        <w:t> </w:t>
      </w:r>
      <w:r>
        <w:rPr/>
        <w:t>como</w:t>
      </w:r>
      <w:r>
        <w:rPr>
          <w:spacing w:val="-3"/>
        </w:rPr>
        <w:t> </w:t>
      </w:r>
      <w:r>
        <w:rPr/>
        <w:t>los</w:t>
      </w:r>
      <w:r>
        <w:rPr>
          <w:spacing w:val="-3"/>
        </w:rPr>
        <w:t> </w:t>
      </w:r>
      <w:r>
        <w:rPr/>
        <w:t>acuerdos que se adopten por los accionistas de la Sociedad.</w:t>
      </w:r>
    </w:p>
    <w:p>
      <w:pPr>
        <w:pStyle w:val="BodyText"/>
        <w:spacing w:before="4"/>
      </w:pPr>
    </w:p>
    <w:p>
      <w:pPr>
        <w:pStyle w:val="BodyText"/>
        <w:spacing w:line="247" w:lineRule="auto"/>
        <w:ind w:left="1278" w:right="840"/>
        <w:jc w:val="both"/>
      </w:pPr>
      <w:r>
        <w:rPr/>
        <w:t>En cualquier caso, tal y como se acordó en el Consejo de Administración de 2 de octubre de 2017 en su acuerdo cuarto, y en la cláusula sexta de la Adenda Modificativa del Convenio de 2006, referido en la nota 1 anterior, la financiación de las actuaciones ferroviarias y urbanísticas está asegurada mediante la aportación comprometida por los accionistas. En el caso de que durante la ejecución de las distintas fases de la actuación se produzcan variaciones en los costes ahora estimados o de los ingresos provenientes de las plusvalías urbanísticas serán de aplicación los porcentajes establecidos en dicha cláusula sexta (66% Administrador de Infraestructuras Ferroviarias</w:t>
      </w:r>
      <w:r>
        <w:rPr>
          <w:spacing w:val="-12"/>
        </w:rPr>
        <w:t> </w:t>
      </w:r>
      <w:r>
        <w:rPr/>
        <w:t>(ADIF)</w:t>
      </w:r>
      <w:r>
        <w:rPr>
          <w:spacing w:val="-10"/>
        </w:rPr>
        <w:t> </w:t>
      </w:r>
      <w:r>
        <w:rPr/>
        <w:t>y</w:t>
      </w:r>
      <w:r>
        <w:rPr>
          <w:spacing w:val="-9"/>
        </w:rPr>
        <w:t> </w:t>
      </w:r>
      <w:r>
        <w:rPr/>
        <w:t>ADIF</w:t>
      </w:r>
      <w:r>
        <w:rPr>
          <w:spacing w:val="-12"/>
        </w:rPr>
        <w:t> </w:t>
      </w:r>
      <w:r>
        <w:rPr/>
        <w:t>Alta</w:t>
      </w:r>
      <w:r>
        <w:rPr>
          <w:spacing w:val="-11"/>
        </w:rPr>
        <w:t> </w:t>
      </w:r>
      <w:r>
        <w:rPr/>
        <w:t>Velocidad,</w:t>
      </w:r>
      <w:r>
        <w:rPr>
          <w:spacing w:val="-10"/>
        </w:rPr>
        <w:t> </w:t>
      </w:r>
      <w:r>
        <w:rPr/>
        <w:t>26%</w:t>
      </w:r>
      <w:r>
        <w:rPr>
          <w:spacing w:val="-11"/>
        </w:rPr>
        <w:t> </w:t>
      </w:r>
      <w:r>
        <w:rPr/>
        <w:t>Comunidad</w:t>
      </w:r>
      <w:r>
        <w:rPr>
          <w:spacing w:val="-10"/>
        </w:rPr>
        <w:t> </w:t>
      </w:r>
      <w:r>
        <w:rPr/>
        <w:t>Autónoma</w:t>
      </w:r>
      <w:r>
        <w:rPr>
          <w:spacing w:val="-10"/>
        </w:rPr>
        <w:t> </w:t>
      </w:r>
      <w:r>
        <w:rPr/>
        <w:t>de</w:t>
      </w:r>
      <w:r>
        <w:rPr>
          <w:spacing w:val="-12"/>
        </w:rPr>
        <w:t> </w:t>
      </w:r>
      <w:r>
        <w:rPr/>
        <w:t>la</w:t>
      </w:r>
      <w:r>
        <w:rPr>
          <w:spacing w:val="-12"/>
        </w:rPr>
        <w:t> </w:t>
      </w:r>
      <w:r>
        <w:rPr/>
        <w:t>Región</w:t>
      </w:r>
      <w:r>
        <w:rPr>
          <w:spacing w:val="-11"/>
        </w:rPr>
        <w:t> </w:t>
      </w:r>
      <w:r>
        <w:rPr/>
        <w:t>de</w:t>
      </w:r>
      <w:r>
        <w:rPr>
          <w:spacing w:val="-11"/>
        </w:rPr>
        <w:t> </w:t>
      </w:r>
      <w:r>
        <w:rPr/>
        <w:t>Murcia</w:t>
      </w:r>
      <w:r>
        <w:rPr>
          <w:spacing w:val="-11"/>
        </w:rPr>
        <w:t> </w:t>
      </w:r>
      <w:r>
        <w:rPr/>
        <w:t>y 8% Ayuntamiento de Murcia).</w:t>
      </w:r>
    </w:p>
    <w:p>
      <w:pPr>
        <w:pStyle w:val="BodyText"/>
      </w:pPr>
    </w:p>
    <w:p>
      <w:pPr>
        <w:pStyle w:val="BodyText"/>
        <w:spacing w:line="247" w:lineRule="auto"/>
        <w:ind w:left="1278" w:right="840"/>
        <w:jc w:val="both"/>
      </w:pPr>
      <w:r>
        <w:rPr/>
        <w:t>Las</w:t>
      </w:r>
      <w:r>
        <w:rPr>
          <w:spacing w:val="-8"/>
        </w:rPr>
        <w:t> </w:t>
      </w:r>
      <w:r>
        <w:rPr/>
        <w:t>estimaciones</w:t>
      </w:r>
      <w:r>
        <w:rPr>
          <w:spacing w:val="-8"/>
        </w:rPr>
        <w:t> </w:t>
      </w:r>
      <w:r>
        <w:rPr/>
        <w:t>realizadas</w:t>
      </w:r>
      <w:r>
        <w:rPr>
          <w:spacing w:val="-8"/>
        </w:rPr>
        <w:t> </w:t>
      </w:r>
      <w:r>
        <w:rPr/>
        <w:t>por</w:t>
      </w:r>
      <w:r>
        <w:rPr>
          <w:spacing w:val="-7"/>
        </w:rPr>
        <w:t> </w:t>
      </w:r>
      <w:r>
        <w:rPr/>
        <w:t>los</w:t>
      </w:r>
      <w:r>
        <w:rPr>
          <w:spacing w:val="-8"/>
        </w:rPr>
        <w:t> </w:t>
      </w:r>
      <w:r>
        <w:rPr/>
        <w:t>Administradores</w:t>
      </w:r>
      <w:r>
        <w:rPr>
          <w:spacing w:val="-8"/>
        </w:rPr>
        <w:t> </w:t>
      </w:r>
      <w:r>
        <w:rPr/>
        <w:t>de</w:t>
      </w:r>
      <w:r>
        <w:rPr>
          <w:spacing w:val="-8"/>
        </w:rPr>
        <w:t> </w:t>
      </w:r>
      <w:r>
        <w:rPr/>
        <w:t>la</w:t>
      </w:r>
      <w:r>
        <w:rPr>
          <w:spacing w:val="-8"/>
        </w:rPr>
        <w:t> </w:t>
      </w:r>
      <w:r>
        <w:rPr/>
        <w:t>Sociedad</w:t>
      </w:r>
      <w:r>
        <w:rPr>
          <w:spacing w:val="-7"/>
        </w:rPr>
        <w:t> </w:t>
      </w:r>
      <w:r>
        <w:rPr/>
        <w:t>se</w:t>
      </w:r>
      <w:r>
        <w:rPr>
          <w:spacing w:val="-8"/>
        </w:rPr>
        <w:t> </w:t>
      </w:r>
      <w:r>
        <w:rPr/>
        <w:t>han</w:t>
      </w:r>
      <w:r>
        <w:rPr>
          <w:spacing w:val="-7"/>
        </w:rPr>
        <w:t> </w:t>
      </w:r>
      <w:r>
        <w:rPr/>
        <w:t>calculado</w:t>
      </w:r>
      <w:r>
        <w:rPr>
          <w:spacing w:val="-6"/>
        </w:rPr>
        <w:t> </w:t>
      </w:r>
      <w:r>
        <w:rPr/>
        <w:t>en</w:t>
      </w:r>
      <w:r>
        <w:rPr>
          <w:spacing w:val="-7"/>
        </w:rPr>
        <w:t> </w:t>
      </w:r>
      <w:r>
        <w:rPr/>
        <w:t>función</w:t>
      </w:r>
      <w:r>
        <w:rPr>
          <w:spacing w:val="-8"/>
        </w:rPr>
        <w:t> </w:t>
      </w:r>
      <w:r>
        <w:rPr/>
        <w:t>de la mejor información disponible al 31 de diciembre de 2025. No obstante, es posible que acontecimientos que puedan tener lugar en el futuro obliguen a su modificación en los próximos ejercicios. El efecto en las cuentas anuales abreviadas de las modificaciones que, en su caso, se derivasen de los ajustes a efectuar durante los próximos ejercicios se registraría de forma </w:t>
      </w:r>
      <w:r>
        <w:rPr>
          <w:spacing w:val="-2"/>
        </w:rPr>
        <w:t>prospectiva.</w:t>
      </w:r>
    </w:p>
    <w:p>
      <w:pPr>
        <w:pStyle w:val="BodyText"/>
        <w:spacing w:before="7"/>
      </w:pPr>
    </w:p>
    <w:p>
      <w:pPr>
        <w:pStyle w:val="ListParagraph"/>
        <w:numPr>
          <w:ilvl w:val="1"/>
          <w:numId w:val="1"/>
        </w:numPr>
        <w:tabs>
          <w:tab w:pos="1274" w:val="left" w:leader="none"/>
        </w:tabs>
        <w:spacing w:line="240" w:lineRule="auto" w:before="0" w:after="0"/>
        <w:ind w:left="1274" w:right="0" w:hanging="279"/>
        <w:jc w:val="left"/>
        <w:rPr>
          <w:sz w:val="22"/>
        </w:rPr>
      </w:pPr>
      <w:r>
        <w:rPr>
          <w:spacing w:val="-4"/>
          <w:sz w:val="22"/>
        </w:rPr>
        <w:t>Comparación</w:t>
      </w:r>
      <w:r>
        <w:rPr>
          <w:spacing w:val="-1"/>
          <w:sz w:val="22"/>
        </w:rPr>
        <w:t> </w:t>
      </w:r>
      <w:r>
        <w:rPr>
          <w:spacing w:val="-4"/>
          <w:sz w:val="22"/>
        </w:rPr>
        <w:t>de</w:t>
      </w:r>
      <w:r>
        <w:rPr>
          <w:spacing w:val="-5"/>
          <w:sz w:val="22"/>
        </w:rPr>
        <w:t> </w:t>
      </w:r>
      <w:r>
        <w:rPr>
          <w:spacing w:val="-4"/>
          <w:sz w:val="22"/>
        </w:rPr>
        <w:t>la</w:t>
      </w:r>
      <w:r>
        <w:rPr>
          <w:spacing w:val="-2"/>
          <w:sz w:val="22"/>
        </w:rPr>
        <w:t> </w:t>
      </w:r>
      <w:r>
        <w:rPr>
          <w:spacing w:val="-4"/>
          <w:sz w:val="22"/>
        </w:rPr>
        <w:t>información</w:t>
      </w:r>
    </w:p>
    <w:p>
      <w:pPr>
        <w:pStyle w:val="BodyText"/>
        <w:spacing w:before="12"/>
      </w:pPr>
    </w:p>
    <w:p>
      <w:pPr>
        <w:pStyle w:val="BodyText"/>
        <w:spacing w:line="247" w:lineRule="auto"/>
        <w:ind w:left="1278" w:right="850"/>
        <w:jc w:val="both"/>
      </w:pPr>
      <w:r>
        <w:rPr/>
        <w:t>A efectos de facilitar la comparación de la información entre el ejercicio 2025 y en el ejercicio 2024, y con el objeto de aportar mayor precisión en el detalle de los saldos, las cifras del ejercicio 2024 se han adaptado incorporando dos decimales. Esta adaptación es meramente formal, sin que este cambio de criterio de presentación haya tenido un impacto material en los resultados del ejercicio anterior o en el patrimonio neto.</w:t>
      </w:r>
    </w:p>
    <w:p>
      <w:pPr>
        <w:pStyle w:val="BodyText"/>
        <w:spacing w:before="7"/>
      </w:pPr>
    </w:p>
    <w:p>
      <w:pPr>
        <w:pStyle w:val="BodyText"/>
        <w:spacing w:line="247" w:lineRule="auto"/>
        <w:ind w:left="1278" w:right="852"/>
        <w:jc w:val="both"/>
      </w:pPr>
      <w:r>
        <w:rPr/>
        <w:t>La</w:t>
      </w:r>
      <w:r>
        <w:rPr>
          <w:spacing w:val="-16"/>
        </w:rPr>
        <w:t> </w:t>
      </w:r>
      <w:r>
        <w:rPr/>
        <w:t>Sociedad</w:t>
      </w:r>
      <w:r>
        <w:rPr>
          <w:spacing w:val="-14"/>
        </w:rPr>
        <w:t> </w:t>
      </w:r>
      <w:r>
        <w:rPr/>
        <w:t>no</w:t>
      </w:r>
      <w:r>
        <w:rPr>
          <w:spacing w:val="-14"/>
        </w:rPr>
        <w:t> </w:t>
      </w:r>
      <w:r>
        <w:rPr/>
        <w:t>está</w:t>
      </w:r>
      <w:r>
        <w:rPr>
          <w:spacing w:val="-13"/>
        </w:rPr>
        <w:t> </w:t>
      </w:r>
      <w:r>
        <w:rPr/>
        <w:t>obligada</w:t>
      </w:r>
      <w:r>
        <w:rPr>
          <w:spacing w:val="-14"/>
        </w:rPr>
        <w:t> </w:t>
      </w:r>
      <w:r>
        <w:rPr/>
        <w:t>legalmente</w:t>
      </w:r>
      <w:r>
        <w:rPr>
          <w:spacing w:val="-14"/>
        </w:rPr>
        <w:t> </w:t>
      </w:r>
      <w:r>
        <w:rPr/>
        <w:t>a</w:t>
      </w:r>
      <w:r>
        <w:rPr>
          <w:spacing w:val="-14"/>
        </w:rPr>
        <w:t> </w:t>
      </w:r>
      <w:r>
        <w:rPr/>
        <w:t>auditar</w:t>
      </w:r>
      <w:r>
        <w:rPr>
          <w:spacing w:val="-13"/>
        </w:rPr>
        <w:t> </w:t>
      </w:r>
      <w:r>
        <w:rPr/>
        <w:t>las</w:t>
      </w:r>
      <w:r>
        <w:rPr>
          <w:spacing w:val="-14"/>
        </w:rPr>
        <w:t> </w:t>
      </w:r>
      <w:r>
        <w:rPr/>
        <w:t>cuentas</w:t>
      </w:r>
      <w:r>
        <w:rPr>
          <w:spacing w:val="-14"/>
        </w:rPr>
        <w:t> </w:t>
      </w:r>
      <w:r>
        <w:rPr/>
        <w:t>anuales</w:t>
      </w:r>
      <w:r>
        <w:rPr>
          <w:spacing w:val="-14"/>
        </w:rPr>
        <w:t> </w:t>
      </w:r>
      <w:r>
        <w:rPr/>
        <w:t>de</w:t>
      </w:r>
      <w:r>
        <w:rPr>
          <w:spacing w:val="-13"/>
        </w:rPr>
        <w:t> </w:t>
      </w:r>
      <w:r>
        <w:rPr/>
        <w:t>los</w:t>
      </w:r>
      <w:r>
        <w:rPr>
          <w:spacing w:val="-14"/>
        </w:rPr>
        <w:t> </w:t>
      </w:r>
      <w:r>
        <w:rPr/>
        <w:t>ejercicios</w:t>
      </w:r>
      <w:r>
        <w:rPr>
          <w:spacing w:val="-14"/>
        </w:rPr>
        <w:t> </w:t>
      </w:r>
      <w:r>
        <w:rPr/>
        <w:t>2025</w:t>
      </w:r>
      <w:r>
        <w:rPr>
          <w:spacing w:val="-14"/>
        </w:rPr>
        <w:t> </w:t>
      </w:r>
      <w:r>
        <w:rPr/>
        <w:t>y</w:t>
      </w:r>
      <w:r>
        <w:rPr>
          <w:spacing w:val="-13"/>
        </w:rPr>
        <w:t> </w:t>
      </w:r>
      <w:r>
        <w:rPr/>
        <w:t>2024, pero según el artículo 37 de sus estatutos está obligada a la realización de una auditoría financiera al cierre de cada ejercicio anual.</w:t>
      </w:r>
    </w:p>
    <w:p>
      <w:pPr>
        <w:pStyle w:val="BodyText"/>
        <w:spacing w:before="6"/>
      </w:pPr>
    </w:p>
    <w:p>
      <w:pPr>
        <w:pStyle w:val="ListParagraph"/>
        <w:numPr>
          <w:ilvl w:val="1"/>
          <w:numId w:val="1"/>
        </w:numPr>
        <w:tabs>
          <w:tab w:pos="1275" w:val="left" w:leader="none"/>
        </w:tabs>
        <w:spacing w:line="240" w:lineRule="auto" w:before="0" w:after="0"/>
        <w:ind w:left="1275" w:right="0" w:hanging="280"/>
        <w:jc w:val="left"/>
        <w:rPr>
          <w:sz w:val="22"/>
        </w:rPr>
      </w:pPr>
      <w:r>
        <w:rPr>
          <w:spacing w:val="-4"/>
          <w:sz w:val="22"/>
        </w:rPr>
        <w:t>Agrupación</w:t>
      </w:r>
      <w:r>
        <w:rPr>
          <w:spacing w:val="-3"/>
          <w:sz w:val="22"/>
        </w:rPr>
        <w:t> </w:t>
      </w:r>
      <w:r>
        <w:rPr>
          <w:spacing w:val="-4"/>
          <w:sz w:val="22"/>
        </w:rPr>
        <w:t>de</w:t>
      </w:r>
      <w:r>
        <w:rPr>
          <w:spacing w:val="-2"/>
          <w:sz w:val="22"/>
        </w:rPr>
        <w:t> </w:t>
      </w:r>
      <w:r>
        <w:rPr>
          <w:spacing w:val="-4"/>
          <w:sz w:val="22"/>
        </w:rPr>
        <w:t>partidas</w:t>
      </w:r>
    </w:p>
    <w:p>
      <w:pPr>
        <w:pStyle w:val="BodyText"/>
        <w:spacing w:before="12"/>
      </w:pPr>
    </w:p>
    <w:p>
      <w:pPr>
        <w:pStyle w:val="BodyText"/>
        <w:spacing w:line="247" w:lineRule="auto"/>
        <w:ind w:left="1278" w:right="847"/>
        <w:jc w:val="both"/>
      </w:pPr>
      <w:r>
        <w:rPr/>
        <w:t>No existen partidas del balance abreviado, de la cuenta de pérdidas y ganancias abreviadas, del estado de cambios en el patrimonio neto abreviado que se presentan de forma agrupada.</w:t>
      </w:r>
    </w:p>
    <w:p>
      <w:pPr>
        <w:pStyle w:val="BodyText"/>
        <w:spacing w:before="6"/>
      </w:pPr>
    </w:p>
    <w:p>
      <w:pPr>
        <w:pStyle w:val="ListParagraph"/>
        <w:numPr>
          <w:ilvl w:val="1"/>
          <w:numId w:val="1"/>
        </w:numPr>
        <w:tabs>
          <w:tab w:pos="1276" w:val="left" w:leader="none"/>
        </w:tabs>
        <w:spacing w:line="240" w:lineRule="auto" w:before="0" w:after="0"/>
        <w:ind w:left="1276" w:right="0" w:hanging="281"/>
        <w:jc w:val="left"/>
        <w:rPr>
          <w:sz w:val="22"/>
        </w:rPr>
      </w:pPr>
      <w:r>
        <w:rPr>
          <w:spacing w:val="-4"/>
          <w:sz w:val="22"/>
        </w:rPr>
        <w:t>Clasificación</w:t>
      </w:r>
      <w:r>
        <w:rPr>
          <w:spacing w:val="-2"/>
          <w:sz w:val="22"/>
        </w:rPr>
        <w:t> </w:t>
      </w:r>
      <w:r>
        <w:rPr>
          <w:spacing w:val="-4"/>
          <w:sz w:val="22"/>
        </w:rPr>
        <w:t>de las</w:t>
      </w:r>
      <w:r>
        <w:rPr>
          <w:sz w:val="22"/>
        </w:rPr>
        <w:t> </w:t>
      </w:r>
      <w:r>
        <w:rPr>
          <w:spacing w:val="-4"/>
          <w:sz w:val="22"/>
        </w:rPr>
        <w:t>partidas</w:t>
      </w:r>
      <w:r>
        <w:rPr>
          <w:spacing w:val="-3"/>
          <w:sz w:val="22"/>
        </w:rPr>
        <w:t> </w:t>
      </w:r>
      <w:r>
        <w:rPr>
          <w:spacing w:val="-4"/>
          <w:sz w:val="22"/>
        </w:rPr>
        <w:t>corrientes</w:t>
      </w:r>
      <w:r>
        <w:rPr>
          <w:spacing w:val="-2"/>
          <w:sz w:val="22"/>
        </w:rPr>
        <w:t> </w:t>
      </w:r>
      <w:r>
        <w:rPr>
          <w:spacing w:val="-4"/>
          <w:sz w:val="22"/>
        </w:rPr>
        <w:t>y</w:t>
      </w:r>
      <w:r>
        <w:rPr>
          <w:sz w:val="22"/>
        </w:rPr>
        <w:t> </w:t>
      </w:r>
      <w:r>
        <w:rPr>
          <w:spacing w:val="-4"/>
          <w:sz w:val="22"/>
        </w:rPr>
        <w:t>no</w:t>
      </w:r>
      <w:r>
        <w:rPr>
          <w:spacing w:val="-1"/>
          <w:sz w:val="22"/>
        </w:rPr>
        <w:t> </w:t>
      </w:r>
      <w:r>
        <w:rPr>
          <w:spacing w:val="-4"/>
          <w:sz w:val="22"/>
        </w:rPr>
        <w:t>corrientes</w:t>
      </w:r>
    </w:p>
    <w:p>
      <w:pPr>
        <w:pStyle w:val="BodyText"/>
        <w:spacing w:before="16"/>
      </w:pPr>
    </w:p>
    <w:p>
      <w:pPr>
        <w:pStyle w:val="BodyText"/>
        <w:spacing w:line="247" w:lineRule="auto"/>
        <w:ind w:left="1280" w:right="840"/>
        <w:jc w:val="both"/>
      </w:pPr>
      <w:r>
        <w:rPr/>
        <w:t>Los activos y pasivos se presentan en el balance abreviado clasificados entre corrientes y no corrientes. A estos efectos, los activos y pasivos se clasifican como corrientes cuando están vinculados</w:t>
      </w:r>
      <w:r>
        <w:rPr>
          <w:spacing w:val="-3"/>
        </w:rPr>
        <w:t> </w:t>
      </w:r>
      <w:r>
        <w:rPr/>
        <w:t>al</w:t>
      </w:r>
      <w:r>
        <w:rPr>
          <w:spacing w:val="-2"/>
        </w:rPr>
        <w:t> </w:t>
      </w:r>
      <w:r>
        <w:rPr/>
        <w:t>ciclo</w:t>
      </w:r>
      <w:r>
        <w:rPr>
          <w:spacing w:val="-3"/>
        </w:rPr>
        <w:t> </w:t>
      </w:r>
      <w:r>
        <w:rPr/>
        <w:t>normal</w:t>
      </w:r>
      <w:r>
        <w:rPr>
          <w:spacing w:val="-4"/>
        </w:rPr>
        <w:t> </w:t>
      </w:r>
      <w:r>
        <w:rPr/>
        <w:t>de</w:t>
      </w:r>
      <w:r>
        <w:rPr>
          <w:spacing w:val="-4"/>
        </w:rPr>
        <w:t> </w:t>
      </w:r>
      <w:r>
        <w:rPr/>
        <w:t>explotación</w:t>
      </w:r>
      <w:r>
        <w:rPr>
          <w:spacing w:val="-2"/>
        </w:rPr>
        <w:t> </w:t>
      </w:r>
      <w:r>
        <w:rPr/>
        <w:t>de</w:t>
      </w:r>
      <w:r>
        <w:rPr>
          <w:spacing w:val="-4"/>
        </w:rPr>
        <w:t> </w:t>
      </w:r>
      <w:r>
        <w:rPr/>
        <w:t>la</w:t>
      </w:r>
      <w:r>
        <w:rPr>
          <w:spacing w:val="-3"/>
        </w:rPr>
        <w:t> </w:t>
      </w:r>
      <w:r>
        <w:rPr/>
        <w:t>Sociedad</w:t>
      </w:r>
      <w:r>
        <w:rPr>
          <w:spacing w:val="-3"/>
        </w:rPr>
        <w:t> </w:t>
      </w:r>
      <w:r>
        <w:rPr/>
        <w:t>y</w:t>
      </w:r>
      <w:r>
        <w:rPr>
          <w:spacing w:val="-3"/>
        </w:rPr>
        <w:t> </w:t>
      </w:r>
      <w:r>
        <w:rPr/>
        <w:t>se</w:t>
      </w:r>
      <w:r>
        <w:rPr>
          <w:spacing w:val="-4"/>
        </w:rPr>
        <w:t> </w:t>
      </w:r>
      <w:r>
        <w:rPr/>
        <w:t>esperan</w:t>
      </w:r>
      <w:r>
        <w:rPr>
          <w:spacing w:val="-3"/>
        </w:rPr>
        <w:t> </w:t>
      </w:r>
      <w:r>
        <w:rPr/>
        <w:t>vender,</w:t>
      </w:r>
      <w:r>
        <w:rPr>
          <w:spacing w:val="-3"/>
        </w:rPr>
        <w:t> </w:t>
      </w:r>
      <w:r>
        <w:rPr/>
        <w:t>consumir,</w:t>
      </w:r>
      <w:r>
        <w:rPr>
          <w:spacing w:val="-3"/>
        </w:rPr>
        <w:t> </w:t>
      </w:r>
      <w:r>
        <w:rPr/>
        <w:t>realizar</w:t>
      </w:r>
      <w:r>
        <w:rPr>
          <w:spacing w:val="-3"/>
        </w:rPr>
        <w:t> </w:t>
      </w:r>
      <w:r>
        <w:rPr/>
        <w:t>o liquidar</w:t>
      </w:r>
      <w:r>
        <w:rPr>
          <w:spacing w:val="-5"/>
        </w:rPr>
        <w:t> </w:t>
      </w:r>
      <w:r>
        <w:rPr/>
        <w:t>en</w:t>
      </w:r>
      <w:r>
        <w:rPr>
          <w:spacing w:val="-6"/>
        </w:rPr>
        <w:t> </w:t>
      </w:r>
      <w:r>
        <w:rPr/>
        <w:t>el</w:t>
      </w:r>
      <w:r>
        <w:rPr>
          <w:spacing w:val="-8"/>
        </w:rPr>
        <w:t> </w:t>
      </w:r>
      <w:r>
        <w:rPr/>
        <w:t>transcurso</w:t>
      </w:r>
      <w:r>
        <w:rPr>
          <w:spacing w:val="-5"/>
        </w:rPr>
        <w:t> </w:t>
      </w:r>
      <w:r>
        <w:rPr/>
        <w:t>del</w:t>
      </w:r>
      <w:r>
        <w:rPr>
          <w:spacing w:val="-8"/>
        </w:rPr>
        <w:t> </w:t>
      </w:r>
      <w:r>
        <w:rPr/>
        <w:t>mismo,</w:t>
      </w:r>
      <w:r>
        <w:rPr>
          <w:spacing w:val="-4"/>
        </w:rPr>
        <w:t> </w:t>
      </w:r>
      <w:r>
        <w:rPr/>
        <w:t>son</w:t>
      </w:r>
      <w:r>
        <w:rPr>
          <w:spacing w:val="-5"/>
        </w:rPr>
        <w:t> </w:t>
      </w:r>
      <w:r>
        <w:rPr/>
        <w:t>diferentes</w:t>
      </w:r>
      <w:r>
        <w:rPr>
          <w:spacing w:val="-6"/>
        </w:rPr>
        <w:t> </w:t>
      </w:r>
      <w:r>
        <w:rPr/>
        <w:t>a</w:t>
      </w:r>
      <w:r>
        <w:rPr>
          <w:spacing w:val="-6"/>
        </w:rPr>
        <w:t> </w:t>
      </w:r>
      <w:r>
        <w:rPr/>
        <w:t>los</w:t>
      </w:r>
      <w:r>
        <w:rPr>
          <w:spacing w:val="-8"/>
        </w:rPr>
        <w:t> </w:t>
      </w:r>
      <w:r>
        <w:rPr/>
        <w:t>anteriores</w:t>
      </w:r>
      <w:r>
        <w:rPr>
          <w:spacing w:val="-6"/>
        </w:rPr>
        <w:t> </w:t>
      </w:r>
      <w:r>
        <w:rPr/>
        <w:t>y</w:t>
      </w:r>
      <w:r>
        <w:rPr>
          <w:spacing w:val="-5"/>
        </w:rPr>
        <w:t> </w:t>
      </w:r>
      <w:r>
        <w:rPr/>
        <w:t>su</w:t>
      </w:r>
      <w:r>
        <w:rPr>
          <w:spacing w:val="-5"/>
        </w:rPr>
        <w:t> </w:t>
      </w:r>
      <w:r>
        <w:rPr/>
        <w:t>vencimiento,</w:t>
      </w:r>
      <w:r>
        <w:rPr>
          <w:spacing w:val="-4"/>
        </w:rPr>
        <w:t> </w:t>
      </w:r>
      <w:r>
        <w:rPr/>
        <w:t>enajenación</w:t>
      </w:r>
      <w:r>
        <w:rPr>
          <w:spacing w:val="-13"/>
        </w:rPr>
        <w:t> </w:t>
      </w:r>
      <w:r>
        <w:rPr/>
        <w:t>o realización</w:t>
      </w:r>
      <w:r>
        <w:rPr>
          <w:spacing w:val="12"/>
        </w:rPr>
        <w:t> </w:t>
      </w:r>
      <w:r>
        <w:rPr/>
        <w:t>se</w:t>
      </w:r>
      <w:r>
        <w:rPr>
          <w:spacing w:val="11"/>
        </w:rPr>
        <w:t> </w:t>
      </w:r>
      <w:r>
        <w:rPr/>
        <w:t>espera</w:t>
      </w:r>
      <w:r>
        <w:rPr>
          <w:spacing w:val="11"/>
        </w:rPr>
        <w:t> </w:t>
      </w:r>
      <w:r>
        <w:rPr/>
        <w:t>que</w:t>
      </w:r>
      <w:r>
        <w:rPr>
          <w:spacing w:val="12"/>
        </w:rPr>
        <w:t> </w:t>
      </w:r>
      <w:r>
        <w:rPr/>
        <w:t>se</w:t>
      </w:r>
      <w:r>
        <w:rPr>
          <w:spacing w:val="11"/>
        </w:rPr>
        <w:t> </w:t>
      </w:r>
      <w:r>
        <w:rPr/>
        <w:t>produzca</w:t>
      </w:r>
      <w:r>
        <w:rPr>
          <w:spacing w:val="11"/>
        </w:rPr>
        <w:t> </w:t>
      </w:r>
      <w:r>
        <w:rPr/>
        <w:t>en</w:t>
      </w:r>
      <w:r>
        <w:rPr>
          <w:spacing w:val="12"/>
        </w:rPr>
        <w:t> </w:t>
      </w:r>
      <w:r>
        <w:rPr/>
        <w:t>el</w:t>
      </w:r>
      <w:r>
        <w:rPr>
          <w:spacing w:val="12"/>
        </w:rPr>
        <w:t> </w:t>
      </w:r>
      <w:r>
        <w:rPr/>
        <w:t>plazo</w:t>
      </w:r>
      <w:r>
        <w:rPr>
          <w:spacing w:val="12"/>
        </w:rPr>
        <w:t> </w:t>
      </w:r>
      <w:r>
        <w:rPr/>
        <w:t>máximo</w:t>
      </w:r>
      <w:r>
        <w:rPr>
          <w:spacing w:val="12"/>
        </w:rPr>
        <w:t> </w:t>
      </w:r>
      <w:r>
        <w:rPr/>
        <w:t>de</w:t>
      </w:r>
      <w:r>
        <w:rPr>
          <w:spacing w:val="11"/>
        </w:rPr>
        <w:t> </w:t>
      </w:r>
      <w:r>
        <w:rPr/>
        <w:t>un</w:t>
      </w:r>
      <w:r>
        <w:rPr>
          <w:spacing w:val="12"/>
        </w:rPr>
        <w:t> </w:t>
      </w:r>
      <w:r>
        <w:rPr/>
        <w:t>año;</w:t>
      </w:r>
      <w:r>
        <w:rPr>
          <w:spacing w:val="12"/>
        </w:rPr>
        <w:t> </w:t>
      </w:r>
      <w:r>
        <w:rPr/>
        <w:t>se</w:t>
      </w:r>
      <w:r>
        <w:rPr>
          <w:spacing w:val="11"/>
        </w:rPr>
        <w:t> </w:t>
      </w:r>
      <w:r>
        <w:rPr/>
        <w:t>mantienen</w:t>
      </w:r>
      <w:r>
        <w:rPr>
          <w:spacing w:val="13"/>
        </w:rPr>
        <w:t> </w:t>
      </w:r>
      <w:r>
        <w:rPr/>
        <w:t>con</w:t>
      </w:r>
      <w:r>
        <w:rPr>
          <w:spacing w:val="11"/>
        </w:rPr>
        <w:t> </w:t>
      </w:r>
      <w:r>
        <w:rPr/>
        <w:t>fines</w:t>
      </w:r>
      <w:r>
        <w:rPr>
          <w:spacing w:val="11"/>
        </w:rPr>
        <w:t> </w:t>
      </w:r>
      <w:r>
        <w:rPr>
          <w:spacing w:val="-5"/>
        </w:rPr>
        <w:t>de</w:t>
      </w:r>
    </w:p>
    <w:p>
      <w:pPr>
        <w:pStyle w:val="BodyText"/>
        <w:spacing w:after="0" w:line="247" w:lineRule="auto"/>
        <w:jc w:val="both"/>
        <w:sectPr>
          <w:pgSz w:w="11910" w:h="16840"/>
          <w:pgMar w:header="694" w:footer="690" w:top="1920" w:bottom="880" w:left="708" w:right="425"/>
        </w:sectPr>
      </w:pPr>
    </w:p>
    <w:p>
      <w:pPr>
        <w:pStyle w:val="BodyText"/>
        <w:spacing w:line="247" w:lineRule="auto" w:before="187"/>
        <w:ind w:left="1280" w:right="840"/>
        <w:jc w:val="both"/>
      </w:pPr>
      <w:r>
        <w:rPr/>
        <w:t>negociación o se trata de efectivo y otros activos líquidos equivalentes cuya utilización no está restringida</w:t>
      </w:r>
      <w:r>
        <w:rPr>
          <w:spacing w:val="-9"/>
        </w:rPr>
        <w:t> </w:t>
      </w:r>
      <w:r>
        <w:rPr/>
        <w:t>por</w:t>
      </w:r>
      <w:r>
        <w:rPr>
          <w:spacing w:val="-9"/>
        </w:rPr>
        <w:t> </w:t>
      </w:r>
      <w:r>
        <w:rPr/>
        <w:t>un</w:t>
      </w:r>
      <w:r>
        <w:rPr>
          <w:spacing w:val="-10"/>
        </w:rPr>
        <w:t> </w:t>
      </w:r>
      <w:r>
        <w:rPr/>
        <w:t>periodo</w:t>
      </w:r>
      <w:r>
        <w:rPr>
          <w:spacing w:val="-9"/>
        </w:rPr>
        <w:t> </w:t>
      </w:r>
      <w:r>
        <w:rPr/>
        <w:t>superior</w:t>
      </w:r>
      <w:r>
        <w:rPr>
          <w:spacing w:val="-8"/>
        </w:rPr>
        <w:t> </w:t>
      </w:r>
      <w:r>
        <w:rPr/>
        <w:t>a</w:t>
      </w:r>
      <w:r>
        <w:rPr>
          <w:spacing w:val="-10"/>
        </w:rPr>
        <w:t> </w:t>
      </w:r>
      <w:r>
        <w:rPr/>
        <w:t>un</w:t>
      </w:r>
      <w:r>
        <w:rPr>
          <w:spacing w:val="-9"/>
        </w:rPr>
        <w:t> </w:t>
      </w:r>
      <w:r>
        <w:rPr/>
        <w:t>año.</w:t>
      </w:r>
      <w:r>
        <w:rPr>
          <w:spacing w:val="-10"/>
        </w:rPr>
        <w:t> </w:t>
      </w:r>
      <w:r>
        <w:rPr/>
        <w:t>En</w:t>
      </w:r>
      <w:r>
        <w:rPr>
          <w:spacing w:val="-10"/>
        </w:rPr>
        <w:t> </w:t>
      </w:r>
      <w:r>
        <w:rPr/>
        <w:t>caso</w:t>
      </w:r>
      <w:r>
        <w:rPr>
          <w:spacing w:val="-9"/>
        </w:rPr>
        <w:t> </w:t>
      </w:r>
      <w:r>
        <w:rPr/>
        <w:t>contrario</w:t>
      </w:r>
      <w:r>
        <w:rPr>
          <w:spacing w:val="-8"/>
        </w:rPr>
        <w:t> </w:t>
      </w:r>
      <w:r>
        <w:rPr/>
        <w:t>se</w:t>
      </w:r>
      <w:r>
        <w:rPr>
          <w:spacing w:val="-10"/>
        </w:rPr>
        <w:t> </w:t>
      </w:r>
      <w:r>
        <w:rPr/>
        <w:t>clasifican</w:t>
      </w:r>
      <w:r>
        <w:rPr>
          <w:spacing w:val="-8"/>
        </w:rPr>
        <w:t> </w:t>
      </w:r>
      <w:r>
        <w:rPr/>
        <w:t>como</w:t>
      </w:r>
      <w:r>
        <w:rPr>
          <w:spacing w:val="-9"/>
        </w:rPr>
        <w:t> </w:t>
      </w:r>
      <w:r>
        <w:rPr/>
        <w:t>activos</w:t>
      </w:r>
      <w:r>
        <w:rPr>
          <w:spacing w:val="-9"/>
        </w:rPr>
        <w:t> </w:t>
      </w:r>
      <w:r>
        <w:rPr/>
        <w:t>y</w:t>
      </w:r>
      <w:r>
        <w:rPr>
          <w:spacing w:val="-10"/>
        </w:rPr>
        <w:t> </w:t>
      </w:r>
      <w:r>
        <w:rPr/>
        <w:t>pasivos no corrientes.</w:t>
      </w:r>
    </w:p>
    <w:p>
      <w:pPr>
        <w:pStyle w:val="BodyText"/>
      </w:pPr>
    </w:p>
    <w:p>
      <w:pPr>
        <w:pStyle w:val="BodyText"/>
        <w:spacing w:before="8"/>
      </w:pPr>
    </w:p>
    <w:p>
      <w:pPr>
        <w:pStyle w:val="Heading1"/>
        <w:numPr>
          <w:ilvl w:val="0"/>
          <w:numId w:val="1"/>
        </w:numPr>
        <w:tabs>
          <w:tab w:pos="708" w:val="left" w:leader="none"/>
        </w:tabs>
        <w:spacing w:line="240" w:lineRule="auto" w:before="0" w:after="0"/>
        <w:ind w:left="708" w:right="0" w:hanging="358"/>
        <w:jc w:val="left"/>
      </w:pPr>
      <w:r>
        <w:rPr/>
        <w:t>Aplicación</w:t>
      </w:r>
      <w:r>
        <w:rPr>
          <w:spacing w:val="-8"/>
        </w:rPr>
        <w:t> </w:t>
      </w:r>
      <w:r>
        <w:rPr/>
        <w:t>del</w:t>
      </w:r>
      <w:r>
        <w:rPr>
          <w:spacing w:val="-8"/>
        </w:rPr>
        <w:t> </w:t>
      </w:r>
      <w:r>
        <w:rPr>
          <w:spacing w:val="-2"/>
        </w:rPr>
        <w:t>resultado</w:t>
      </w:r>
    </w:p>
    <w:p>
      <w:pPr>
        <w:pStyle w:val="BodyText"/>
        <w:spacing w:before="15"/>
        <w:rPr>
          <w:b/>
        </w:rPr>
      </w:pPr>
    </w:p>
    <w:p>
      <w:pPr>
        <w:pStyle w:val="BodyText"/>
        <w:spacing w:line="247" w:lineRule="auto"/>
        <w:ind w:left="995" w:right="794"/>
      </w:pPr>
      <w:r>
        <w:rPr/>
        <w:t>La</w:t>
      </w:r>
      <w:r>
        <w:rPr>
          <w:spacing w:val="-14"/>
        </w:rPr>
        <w:t> </w:t>
      </w:r>
      <w:r>
        <w:rPr/>
        <w:t>propuesta</w:t>
      </w:r>
      <w:r>
        <w:rPr>
          <w:spacing w:val="-14"/>
        </w:rPr>
        <w:t> </w:t>
      </w:r>
      <w:r>
        <w:rPr/>
        <w:t>de</w:t>
      </w:r>
      <w:r>
        <w:rPr>
          <w:spacing w:val="-14"/>
        </w:rPr>
        <w:t> </w:t>
      </w:r>
      <w:r>
        <w:rPr/>
        <w:t>distribución</w:t>
      </w:r>
      <w:r>
        <w:rPr>
          <w:spacing w:val="-13"/>
        </w:rPr>
        <w:t> </w:t>
      </w:r>
      <w:r>
        <w:rPr/>
        <w:t>de</w:t>
      </w:r>
      <w:r>
        <w:rPr>
          <w:spacing w:val="-14"/>
        </w:rPr>
        <w:t> </w:t>
      </w:r>
      <w:r>
        <w:rPr/>
        <w:t>resultados</w:t>
      </w:r>
      <w:r>
        <w:rPr>
          <w:spacing w:val="-14"/>
        </w:rPr>
        <w:t> </w:t>
      </w:r>
      <w:r>
        <w:rPr/>
        <w:t>que</w:t>
      </w:r>
      <w:r>
        <w:rPr>
          <w:spacing w:val="-14"/>
        </w:rPr>
        <w:t> </w:t>
      </w:r>
      <w:r>
        <w:rPr/>
        <w:t>los</w:t>
      </w:r>
      <w:r>
        <w:rPr>
          <w:spacing w:val="-13"/>
        </w:rPr>
        <w:t> </w:t>
      </w:r>
      <w:r>
        <w:rPr/>
        <w:t>Administradores</w:t>
      </w:r>
      <w:r>
        <w:rPr>
          <w:spacing w:val="-14"/>
        </w:rPr>
        <w:t> </w:t>
      </w:r>
      <w:r>
        <w:rPr/>
        <w:t>someten</w:t>
      </w:r>
      <w:r>
        <w:rPr>
          <w:spacing w:val="-14"/>
        </w:rPr>
        <w:t> </w:t>
      </w:r>
      <w:r>
        <w:rPr/>
        <w:t>a</w:t>
      </w:r>
      <w:r>
        <w:rPr>
          <w:spacing w:val="-14"/>
        </w:rPr>
        <w:t> </w:t>
      </w:r>
      <w:r>
        <w:rPr/>
        <w:t>la</w:t>
      </w:r>
      <w:r>
        <w:rPr>
          <w:spacing w:val="-13"/>
        </w:rPr>
        <w:t> </w:t>
      </w:r>
      <w:r>
        <w:rPr/>
        <w:t>aprobación</w:t>
      </w:r>
      <w:r>
        <w:rPr>
          <w:spacing w:val="-14"/>
        </w:rPr>
        <w:t> </w:t>
      </w:r>
      <w:r>
        <w:rPr/>
        <w:t>de</w:t>
      </w:r>
      <w:r>
        <w:rPr>
          <w:spacing w:val="-14"/>
        </w:rPr>
        <w:t> </w:t>
      </w:r>
      <w:r>
        <w:rPr/>
        <w:t>la</w:t>
      </w:r>
      <w:r>
        <w:rPr>
          <w:spacing w:val="-14"/>
        </w:rPr>
        <w:t> </w:t>
      </w:r>
      <w:r>
        <w:rPr/>
        <w:t>Junta General de Accionistas es la siguiente:</w:t>
      </w:r>
    </w:p>
    <w:p>
      <w:pPr>
        <w:spacing w:before="10"/>
        <w:ind w:left="5573" w:right="0" w:firstLine="0"/>
        <w:jc w:val="left"/>
        <w:rPr>
          <w:sz w:val="18"/>
        </w:rPr>
      </w:pPr>
      <w:r>
        <w:rPr>
          <w:sz w:val="18"/>
          <w:u w:val="single"/>
        </w:rPr>
        <w:t>Base de</w:t>
      </w:r>
      <w:r>
        <w:rPr>
          <w:spacing w:val="-1"/>
          <w:sz w:val="18"/>
          <w:u w:val="single"/>
        </w:rPr>
        <w:t> </w:t>
      </w:r>
      <w:r>
        <w:rPr>
          <w:spacing w:val="-2"/>
          <w:sz w:val="18"/>
          <w:u w:val="single"/>
        </w:rPr>
        <w:t>reparto</w:t>
      </w:r>
      <w:r>
        <w:rPr>
          <w:spacing w:val="40"/>
          <w:sz w:val="18"/>
          <w:u w:val="single"/>
        </w:rPr>
        <w:t> </w:t>
      </w:r>
    </w:p>
    <w:p>
      <w:pPr>
        <w:tabs>
          <w:tab w:pos="7237" w:val="left" w:leader="none"/>
        </w:tabs>
        <w:spacing w:line="266" w:lineRule="auto" w:before="24"/>
        <w:ind w:left="5573" w:right="2726" w:hanging="2701"/>
        <w:jc w:val="left"/>
        <w:rPr>
          <w:sz w:val="18"/>
        </w:rPr>
      </w:pPr>
      <w:r>
        <w:rPr>
          <w:sz w:val="18"/>
        </w:rPr>
        <w:t>Pérdidas y ganancias (beneficio)</w:t>
        <w:tab/>
        <w:tab/>
      </w:r>
      <w:r>
        <w:rPr>
          <w:spacing w:val="-2"/>
          <w:sz w:val="18"/>
        </w:rPr>
        <w:t>525.403,12 </w:t>
      </w:r>
      <w:r>
        <w:rPr>
          <w:spacing w:val="-2"/>
          <w:sz w:val="18"/>
          <w:u w:val="single"/>
        </w:rPr>
        <w:t>Aplicación</w:t>
      </w:r>
    </w:p>
    <w:p>
      <w:pPr>
        <w:pStyle w:val="BodyText"/>
        <w:spacing w:before="23"/>
        <w:rPr>
          <w:sz w:val="18"/>
        </w:rPr>
      </w:pPr>
    </w:p>
    <w:p>
      <w:pPr>
        <w:tabs>
          <w:tab w:pos="4860" w:val="left" w:leader="none"/>
        </w:tabs>
        <w:spacing w:before="0"/>
        <w:ind w:left="0" w:right="2725" w:firstLine="0"/>
        <w:jc w:val="right"/>
        <w:rPr>
          <w:sz w:val="18"/>
        </w:rPr>
      </w:pPr>
      <w:r>
        <w:rPr>
          <w:sz w:val="18"/>
        </w:rPr>
        <w:t>A</w:t>
      </w:r>
      <w:r>
        <w:rPr>
          <w:spacing w:val="-3"/>
          <w:sz w:val="18"/>
        </w:rPr>
        <w:t> </w:t>
      </w:r>
      <w:r>
        <w:rPr>
          <w:sz w:val="18"/>
        </w:rPr>
        <w:t>reserva</w:t>
      </w:r>
      <w:r>
        <w:rPr>
          <w:spacing w:val="-1"/>
          <w:sz w:val="18"/>
        </w:rPr>
        <w:t> </w:t>
      </w:r>
      <w:r>
        <w:rPr>
          <w:spacing w:val="-2"/>
          <w:sz w:val="18"/>
        </w:rPr>
        <w:t>legal</w:t>
      </w:r>
      <w:r>
        <w:rPr>
          <w:sz w:val="18"/>
        </w:rPr>
        <w:tab/>
      </w:r>
      <w:r>
        <w:rPr>
          <w:spacing w:val="-4"/>
          <w:sz w:val="18"/>
        </w:rPr>
        <w:t>0,83</w:t>
      </w:r>
    </w:p>
    <w:p>
      <w:pPr>
        <w:tabs>
          <w:tab w:pos="4364" w:val="left" w:leader="none"/>
        </w:tabs>
        <w:spacing w:before="24"/>
        <w:ind w:left="0" w:right="2726" w:firstLine="0"/>
        <w:jc w:val="right"/>
        <w:rPr>
          <w:sz w:val="18"/>
        </w:rPr>
      </w:pPr>
      <w:r>
        <w:rPr>
          <w:sz w:val="18"/>
        </w:rPr>
        <w:t>A</w:t>
      </w:r>
      <w:r>
        <w:rPr>
          <w:spacing w:val="-3"/>
          <w:sz w:val="18"/>
        </w:rPr>
        <w:t> </w:t>
      </w:r>
      <w:r>
        <w:rPr>
          <w:sz w:val="18"/>
        </w:rPr>
        <w:t>reservas</w:t>
      </w:r>
      <w:r>
        <w:rPr>
          <w:spacing w:val="-1"/>
          <w:sz w:val="18"/>
        </w:rPr>
        <w:t> </w:t>
      </w:r>
      <w:r>
        <w:rPr>
          <w:spacing w:val="-2"/>
          <w:sz w:val="18"/>
        </w:rPr>
        <w:t>voluntarias</w:t>
      </w:r>
      <w:r>
        <w:rPr>
          <w:sz w:val="18"/>
        </w:rPr>
        <w:tab/>
      </w:r>
      <w:r>
        <w:rPr>
          <w:spacing w:val="-2"/>
          <w:sz w:val="18"/>
        </w:rPr>
        <w:t>327.221,22</w:t>
      </w:r>
    </w:p>
    <w:p>
      <w:pPr>
        <w:tabs>
          <w:tab w:pos="4364" w:val="left" w:leader="none"/>
        </w:tabs>
        <w:spacing w:before="28"/>
        <w:ind w:left="0" w:right="2726" w:firstLine="0"/>
        <w:jc w:val="right"/>
        <w:rPr>
          <w:sz w:val="18"/>
        </w:rPr>
      </w:pPr>
      <w:r>
        <w:rPr>
          <w:sz w:val="18"/>
        </w:rPr>
        <mc:AlternateContent>
          <mc:Choice Requires="wps">
            <w:drawing>
              <wp:anchor distT="0" distB="0" distL="0" distR="0" allowOverlap="1" layoutInCell="1" locked="0" behindDoc="1" simplePos="0" relativeHeight="487587840">
                <wp:simplePos x="0" y="0"/>
                <wp:positionH relativeFrom="page">
                  <wp:posOffset>5001514</wp:posOffset>
                </wp:positionH>
                <wp:positionV relativeFrom="paragraph">
                  <wp:posOffset>159776</wp:posOffset>
                </wp:positionV>
                <wp:extent cx="603250" cy="1270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03250" cy="12700"/>
                        </a:xfrm>
                        <a:custGeom>
                          <a:avLst/>
                          <a:gdLst/>
                          <a:ahLst/>
                          <a:cxnLst/>
                          <a:rect l="l" t="t" r="r" b="b"/>
                          <a:pathLst>
                            <a:path w="603250" h="12700">
                              <a:moveTo>
                                <a:pt x="602996" y="0"/>
                              </a:moveTo>
                              <a:lnTo>
                                <a:pt x="0" y="0"/>
                              </a:lnTo>
                              <a:lnTo>
                                <a:pt x="0" y="12191"/>
                              </a:lnTo>
                              <a:lnTo>
                                <a:pt x="602996" y="12191"/>
                              </a:lnTo>
                              <a:lnTo>
                                <a:pt x="6029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3.820007pt;margin-top:12.580806pt;width:47.48pt;height:.95999pt;mso-position-horizontal-relative:page;mso-position-vertical-relative:paragraph;z-index:-15728640;mso-wrap-distance-left:0;mso-wrap-distance-right:0" id="docshape7" filled="true" fillcolor="#000000" stroked="false">
                <v:fill type="solid"/>
                <w10:wrap type="topAndBottom"/>
              </v:rect>
            </w:pict>
          </mc:Fallback>
        </mc:AlternateContent>
      </w:r>
      <w:r>
        <w:rPr>
          <w:sz w:val="18"/>
        </w:rPr>
        <w:t>A</w:t>
      </w:r>
      <w:r>
        <w:rPr>
          <w:spacing w:val="-1"/>
          <w:sz w:val="18"/>
        </w:rPr>
        <w:t> </w:t>
      </w:r>
      <w:r>
        <w:rPr>
          <w:sz w:val="18"/>
        </w:rPr>
        <w:t>reserva</w:t>
      </w:r>
      <w:r>
        <w:rPr>
          <w:spacing w:val="-1"/>
          <w:sz w:val="18"/>
        </w:rPr>
        <w:t> </w:t>
      </w:r>
      <w:r>
        <w:rPr>
          <w:spacing w:val="-2"/>
          <w:sz w:val="18"/>
        </w:rPr>
        <w:t>capitalización</w:t>
      </w:r>
      <w:r>
        <w:rPr>
          <w:sz w:val="18"/>
        </w:rPr>
        <w:tab/>
      </w:r>
      <w:r>
        <w:rPr>
          <w:spacing w:val="-2"/>
          <w:sz w:val="18"/>
        </w:rPr>
        <w:t>198.181,07</w:t>
      </w:r>
    </w:p>
    <w:p>
      <w:pPr>
        <w:tabs>
          <w:tab w:pos="833" w:val="left" w:leader="none"/>
        </w:tabs>
        <w:spacing w:before="16" w:after="19"/>
        <w:ind w:left="0" w:right="2726" w:firstLine="0"/>
        <w:jc w:val="right"/>
        <w:rPr>
          <w:sz w:val="18"/>
        </w:rPr>
      </w:pPr>
      <w:r>
        <w:rPr>
          <w:spacing w:val="-2"/>
          <w:sz w:val="18"/>
        </w:rPr>
        <w:t>Total</w:t>
      </w:r>
      <w:r>
        <w:rPr>
          <w:sz w:val="18"/>
        </w:rPr>
        <w:tab/>
      </w:r>
      <w:r>
        <w:rPr>
          <w:spacing w:val="-2"/>
          <w:sz w:val="18"/>
        </w:rPr>
        <w:t>525.403,12</w:t>
      </w:r>
    </w:p>
    <w:p>
      <w:pPr>
        <w:spacing w:line="43" w:lineRule="exact"/>
        <w:ind w:left="7154" w:right="0" w:firstLine="0"/>
        <w:rPr>
          <w:position w:val="0"/>
          <w:sz w:val="4"/>
        </w:rPr>
      </w:pPr>
      <w:r>
        <w:rPr>
          <w:position w:val="0"/>
          <w:sz w:val="4"/>
        </w:rPr>
        <mc:AlternateContent>
          <mc:Choice Requires="wps">
            <w:drawing>
              <wp:inline distT="0" distB="0" distL="0" distR="0">
                <wp:extent cx="612140" cy="27940"/>
                <wp:effectExtent l="0" t="0" r="0" b="0"/>
                <wp:docPr id="8" name="Group 8"/>
                <wp:cNvGraphicFramePr>
                  <a:graphicFrameLocks/>
                </wp:cNvGraphicFramePr>
                <a:graphic>
                  <a:graphicData uri="http://schemas.microsoft.com/office/word/2010/wordprocessingGroup">
                    <wpg:wgp>
                      <wpg:cNvPr id="8" name="Group 8"/>
                      <wpg:cNvGrpSpPr/>
                      <wpg:grpSpPr>
                        <a:xfrm>
                          <a:off x="0" y="0"/>
                          <a:ext cx="612140" cy="27940"/>
                          <a:chExt cx="612140" cy="27940"/>
                        </a:xfrm>
                      </wpg:grpSpPr>
                      <wps:wsp>
                        <wps:cNvPr id="9" name="Graphic 9"/>
                        <wps:cNvSpPr/>
                        <wps:spPr>
                          <a:xfrm>
                            <a:off x="0" y="0"/>
                            <a:ext cx="612140" cy="27940"/>
                          </a:xfrm>
                          <a:custGeom>
                            <a:avLst/>
                            <a:gdLst/>
                            <a:ahLst/>
                            <a:cxnLst/>
                            <a:rect l="l" t="t" r="r" b="b"/>
                            <a:pathLst>
                              <a:path w="612140" h="27940">
                                <a:moveTo>
                                  <a:pt x="612140" y="18288"/>
                                </a:moveTo>
                                <a:lnTo>
                                  <a:pt x="0" y="18288"/>
                                </a:lnTo>
                                <a:lnTo>
                                  <a:pt x="0" y="27432"/>
                                </a:lnTo>
                                <a:lnTo>
                                  <a:pt x="612140" y="27432"/>
                                </a:lnTo>
                                <a:lnTo>
                                  <a:pt x="612140" y="18288"/>
                                </a:lnTo>
                                <a:close/>
                              </a:path>
                              <a:path w="612140" h="27940">
                                <a:moveTo>
                                  <a:pt x="612140" y="0"/>
                                </a:moveTo>
                                <a:lnTo>
                                  <a:pt x="0" y="0"/>
                                </a:lnTo>
                                <a:lnTo>
                                  <a:pt x="0" y="9144"/>
                                </a:lnTo>
                                <a:lnTo>
                                  <a:pt x="612140" y="9144"/>
                                </a:lnTo>
                                <a:lnTo>
                                  <a:pt x="6121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2pt;height:2.2pt;mso-position-horizontal-relative:char;mso-position-vertical-relative:line" id="docshapegroup8" coordorigin="0,0" coordsize="964,44">
                <v:shape style="position:absolute;left:0;top:0;width:964;height:44" id="docshape9" coordorigin="0,0" coordsize="964,44" path="m964,29l0,29,0,43,964,43,964,29xm964,0l0,0,0,14,964,14,964,0xe" filled="true" fillcolor="#000000" stroked="false">
                  <v:path arrowok="t"/>
                  <v:fill type="solid"/>
                </v:shape>
              </v:group>
            </w:pict>
          </mc:Fallback>
        </mc:AlternateContent>
      </w:r>
      <w:r>
        <w:rPr>
          <w:position w:val="0"/>
          <w:sz w:val="4"/>
        </w:rPr>
      </w:r>
    </w:p>
    <w:p>
      <w:pPr>
        <w:pStyle w:val="BodyText"/>
        <w:spacing w:before="72"/>
      </w:pPr>
    </w:p>
    <w:p>
      <w:pPr>
        <w:pStyle w:val="BodyText"/>
        <w:spacing w:line="247" w:lineRule="auto"/>
        <w:ind w:left="995" w:right="794"/>
      </w:pPr>
      <w:r>
        <w:rPr/>
        <w:t>Con fecha 19 de junio de 2025, la Junta General de Accionistas, aprobó la distribución del ejercicio cerrado a 31 de diciembre de 2024 es la siguiente:</w:t>
      </w:r>
    </w:p>
    <w:p>
      <w:pPr>
        <w:spacing w:before="46"/>
        <w:ind w:left="1774" w:right="0" w:firstLine="0"/>
        <w:jc w:val="center"/>
        <w:rPr>
          <w:sz w:val="18"/>
        </w:rPr>
      </w:pPr>
      <w:r>
        <w:rPr>
          <w:sz w:val="18"/>
          <w:u w:val="single"/>
        </w:rPr>
        <w:t>Base de</w:t>
      </w:r>
      <w:r>
        <w:rPr>
          <w:spacing w:val="-1"/>
          <w:sz w:val="18"/>
          <w:u w:val="single"/>
        </w:rPr>
        <w:t> </w:t>
      </w:r>
      <w:r>
        <w:rPr>
          <w:spacing w:val="-2"/>
          <w:sz w:val="18"/>
          <w:u w:val="single"/>
        </w:rPr>
        <w:t>reparto</w:t>
      </w:r>
      <w:r>
        <w:rPr>
          <w:spacing w:val="40"/>
          <w:sz w:val="18"/>
          <w:u w:val="single"/>
        </w:rPr>
        <w:t> </w:t>
      </w:r>
    </w:p>
    <w:p>
      <w:pPr>
        <w:pStyle w:val="BodyText"/>
        <w:spacing w:before="8"/>
        <w:rPr>
          <w:sz w:val="8"/>
        </w:rPr>
      </w:pPr>
    </w:p>
    <w:tbl>
      <w:tblPr>
        <w:tblW w:w="0" w:type="auto"/>
        <w:jc w:val="left"/>
        <w:tblInd w:w="2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37"/>
        <w:gridCol w:w="1088"/>
        <w:gridCol w:w="1330"/>
      </w:tblGrid>
      <w:tr>
        <w:trPr>
          <w:trHeight w:val="699" w:hRule="atLeast"/>
        </w:trPr>
        <w:tc>
          <w:tcPr>
            <w:tcW w:w="2637" w:type="dxa"/>
          </w:tcPr>
          <w:p>
            <w:pPr>
              <w:pStyle w:val="TableParagraph"/>
              <w:spacing w:line="199" w:lineRule="exact"/>
              <w:ind w:left="50"/>
              <w:rPr>
                <w:b/>
                <w:sz w:val="18"/>
              </w:rPr>
            </w:pPr>
            <w:r>
              <w:rPr>
                <w:b/>
                <w:sz w:val="18"/>
              </w:rPr>
              <w:t>Pérdidas</w:t>
            </w:r>
            <w:r>
              <w:rPr>
                <w:b/>
                <w:spacing w:val="-6"/>
                <w:sz w:val="18"/>
              </w:rPr>
              <w:t> </w:t>
            </w:r>
            <w:r>
              <w:rPr>
                <w:b/>
                <w:sz w:val="18"/>
              </w:rPr>
              <w:t>y</w:t>
            </w:r>
            <w:r>
              <w:rPr>
                <w:b/>
                <w:spacing w:val="-5"/>
                <w:sz w:val="18"/>
              </w:rPr>
              <w:t> </w:t>
            </w:r>
            <w:r>
              <w:rPr>
                <w:b/>
                <w:sz w:val="18"/>
              </w:rPr>
              <w:t>ganancias</w:t>
            </w:r>
            <w:r>
              <w:rPr>
                <w:b/>
                <w:spacing w:val="-4"/>
                <w:sz w:val="18"/>
              </w:rPr>
              <w:t> </w:t>
            </w:r>
            <w:r>
              <w:rPr>
                <w:b/>
                <w:spacing w:val="-2"/>
                <w:sz w:val="18"/>
              </w:rPr>
              <w:t>(beneficio)</w:t>
            </w:r>
          </w:p>
        </w:tc>
        <w:tc>
          <w:tcPr>
            <w:tcW w:w="1088" w:type="dxa"/>
          </w:tcPr>
          <w:p>
            <w:pPr>
              <w:pStyle w:val="TableParagraph"/>
              <w:spacing w:before="85"/>
              <w:rPr>
                <w:sz w:val="18"/>
              </w:rPr>
            </w:pPr>
          </w:p>
          <w:p>
            <w:pPr>
              <w:pStyle w:val="TableParagraph"/>
              <w:ind w:right="181"/>
              <w:jc w:val="right"/>
              <w:rPr>
                <w:sz w:val="18"/>
              </w:rPr>
            </w:pPr>
            <w:r>
              <w:rPr>
                <w:spacing w:val="-2"/>
                <w:sz w:val="18"/>
                <w:u w:val="single"/>
              </w:rPr>
              <w:t>Aplicación</w:t>
            </w:r>
          </w:p>
        </w:tc>
        <w:tc>
          <w:tcPr>
            <w:tcW w:w="1330" w:type="dxa"/>
          </w:tcPr>
          <w:p>
            <w:pPr>
              <w:pStyle w:val="TableParagraph"/>
              <w:spacing w:line="199" w:lineRule="exact"/>
              <w:ind w:left="195"/>
              <w:rPr>
                <w:b/>
                <w:sz w:val="18"/>
              </w:rPr>
            </w:pPr>
            <w:r>
              <w:rPr>
                <w:b/>
                <w:spacing w:val="-2"/>
                <w:sz w:val="18"/>
              </w:rPr>
              <w:t>1.050.037,35</w:t>
            </w:r>
          </w:p>
        </w:tc>
      </w:tr>
      <w:tr>
        <w:trPr>
          <w:trHeight w:val="450" w:hRule="atLeast"/>
        </w:trPr>
        <w:tc>
          <w:tcPr>
            <w:tcW w:w="2637" w:type="dxa"/>
          </w:tcPr>
          <w:p>
            <w:pPr>
              <w:pStyle w:val="TableParagraph"/>
              <w:spacing w:before="192"/>
              <w:ind w:left="50"/>
              <w:rPr>
                <w:sz w:val="18"/>
              </w:rPr>
            </w:pPr>
            <w:r>
              <w:rPr>
                <w:sz w:val="18"/>
              </w:rPr>
              <w:t>A</w:t>
            </w:r>
            <w:r>
              <w:rPr>
                <w:spacing w:val="-3"/>
                <w:sz w:val="18"/>
              </w:rPr>
              <w:t> </w:t>
            </w:r>
            <w:r>
              <w:rPr>
                <w:sz w:val="18"/>
              </w:rPr>
              <w:t>reserva</w:t>
            </w:r>
            <w:r>
              <w:rPr>
                <w:spacing w:val="-1"/>
                <w:sz w:val="18"/>
              </w:rPr>
              <w:t> </w:t>
            </w:r>
            <w:r>
              <w:rPr>
                <w:spacing w:val="-2"/>
                <w:sz w:val="18"/>
              </w:rPr>
              <w:t>legal</w:t>
            </w:r>
          </w:p>
        </w:tc>
        <w:tc>
          <w:tcPr>
            <w:tcW w:w="1088" w:type="dxa"/>
          </w:tcPr>
          <w:p>
            <w:pPr>
              <w:pStyle w:val="TableParagraph"/>
              <w:rPr>
                <w:sz w:val="20"/>
              </w:rPr>
            </w:pPr>
          </w:p>
        </w:tc>
        <w:tc>
          <w:tcPr>
            <w:tcW w:w="1330" w:type="dxa"/>
          </w:tcPr>
          <w:p>
            <w:pPr>
              <w:pStyle w:val="TableParagraph"/>
              <w:spacing w:before="192"/>
              <w:ind w:right="67"/>
              <w:jc w:val="right"/>
              <w:rPr>
                <w:sz w:val="18"/>
              </w:rPr>
            </w:pPr>
            <w:r>
              <w:rPr>
                <w:spacing w:val="-2"/>
                <w:sz w:val="18"/>
              </w:rPr>
              <w:t>59.132,00</w:t>
            </w:r>
          </w:p>
        </w:tc>
      </w:tr>
      <w:tr>
        <w:trPr>
          <w:trHeight w:val="304" w:hRule="atLeast"/>
        </w:trPr>
        <w:tc>
          <w:tcPr>
            <w:tcW w:w="2637" w:type="dxa"/>
          </w:tcPr>
          <w:p>
            <w:pPr>
              <w:pStyle w:val="TableParagraph"/>
              <w:spacing w:before="42"/>
              <w:ind w:left="50"/>
              <w:rPr>
                <w:sz w:val="18"/>
              </w:rPr>
            </w:pPr>
            <w:r>
              <w:rPr>
                <w:sz w:val="18"/>
              </w:rPr>
              <w:t>A</w:t>
            </w:r>
            <w:r>
              <w:rPr>
                <w:spacing w:val="-3"/>
                <w:sz w:val="18"/>
              </w:rPr>
              <w:t> </w:t>
            </w:r>
            <w:r>
              <w:rPr>
                <w:sz w:val="18"/>
              </w:rPr>
              <w:t>reservas</w:t>
            </w:r>
            <w:r>
              <w:rPr>
                <w:spacing w:val="-1"/>
                <w:sz w:val="18"/>
              </w:rPr>
              <w:t> </w:t>
            </w:r>
            <w:r>
              <w:rPr>
                <w:spacing w:val="-2"/>
                <w:sz w:val="18"/>
              </w:rPr>
              <w:t>voluntarias</w:t>
            </w:r>
          </w:p>
        </w:tc>
        <w:tc>
          <w:tcPr>
            <w:tcW w:w="1088" w:type="dxa"/>
          </w:tcPr>
          <w:p>
            <w:pPr>
              <w:pStyle w:val="TableParagraph"/>
              <w:rPr>
                <w:sz w:val="20"/>
              </w:rPr>
            </w:pPr>
          </w:p>
        </w:tc>
        <w:tc>
          <w:tcPr>
            <w:tcW w:w="1330" w:type="dxa"/>
          </w:tcPr>
          <w:p>
            <w:pPr>
              <w:pStyle w:val="TableParagraph"/>
              <w:spacing w:before="42"/>
              <w:ind w:right="67"/>
              <w:jc w:val="right"/>
              <w:rPr>
                <w:sz w:val="18"/>
              </w:rPr>
            </w:pPr>
            <w:r>
              <w:rPr>
                <w:spacing w:val="-2"/>
                <w:sz w:val="18"/>
              </w:rPr>
              <w:t>914.331,00</w:t>
            </w:r>
          </w:p>
        </w:tc>
      </w:tr>
      <w:tr>
        <w:trPr>
          <w:trHeight w:val="306" w:hRule="atLeast"/>
        </w:trPr>
        <w:tc>
          <w:tcPr>
            <w:tcW w:w="2637" w:type="dxa"/>
          </w:tcPr>
          <w:p>
            <w:pPr>
              <w:pStyle w:val="TableParagraph"/>
              <w:spacing w:before="47"/>
              <w:ind w:left="50"/>
              <w:rPr>
                <w:sz w:val="18"/>
              </w:rPr>
            </w:pPr>
            <w:r>
              <w:rPr>
                <w:sz w:val="18"/>
              </w:rPr>
              <w:t>A</w:t>
            </w:r>
            <w:r>
              <w:rPr>
                <w:spacing w:val="-1"/>
                <w:sz w:val="18"/>
              </w:rPr>
              <w:t> </w:t>
            </w:r>
            <w:r>
              <w:rPr>
                <w:sz w:val="18"/>
              </w:rPr>
              <w:t>reserva</w:t>
            </w:r>
            <w:r>
              <w:rPr>
                <w:spacing w:val="-1"/>
                <w:sz w:val="18"/>
              </w:rPr>
              <w:t> </w:t>
            </w:r>
            <w:r>
              <w:rPr>
                <w:spacing w:val="-2"/>
                <w:sz w:val="18"/>
              </w:rPr>
              <w:t>capitalización</w:t>
            </w:r>
          </w:p>
        </w:tc>
        <w:tc>
          <w:tcPr>
            <w:tcW w:w="1088" w:type="dxa"/>
          </w:tcPr>
          <w:p>
            <w:pPr>
              <w:pStyle w:val="TableParagraph"/>
              <w:rPr>
                <w:sz w:val="20"/>
              </w:rPr>
            </w:pPr>
          </w:p>
        </w:tc>
        <w:tc>
          <w:tcPr>
            <w:tcW w:w="1330" w:type="dxa"/>
            <w:tcBorders>
              <w:bottom w:val="single" w:sz="8" w:space="0" w:color="000000"/>
            </w:tcBorders>
          </w:tcPr>
          <w:p>
            <w:pPr>
              <w:pStyle w:val="TableParagraph"/>
              <w:spacing w:before="47"/>
              <w:ind w:right="67"/>
              <w:jc w:val="right"/>
              <w:rPr>
                <w:sz w:val="18"/>
              </w:rPr>
            </w:pPr>
            <w:r>
              <w:rPr>
                <w:spacing w:val="-2"/>
                <w:sz w:val="18"/>
              </w:rPr>
              <w:t>76.574,35</w:t>
            </w:r>
          </w:p>
        </w:tc>
      </w:tr>
      <w:tr>
        <w:trPr>
          <w:trHeight w:val="316" w:hRule="atLeast"/>
        </w:trPr>
        <w:tc>
          <w:tcPr>
            <w:tcW w:w="2637" w:type="dxa"/>
          </w:tcPr>
          <w:p>
            <w:pPr>
              <w:pStyle w:val="TableParagraph"/>
              <w:rPr>
                <w:sz w:val="20"/>
              </w:rPr>
            </w:pPr>
          </w:p>
        </w:tc>
        <w:tc>
          <w:tcPr>
            <w:tcW w:w="1088" w:type="dxa"/>
          </w:tcPr>
          <w:p>
            <w:pPr>
              <w:pStyle w:val="TableParagraph"/>
              <w:spacing w:before="54"/>
              <w:ind w:right="178"/>
              <w:jc w:val="right"/>
              <w:rPr>
                <w:b/>
                <w:sz w:val="18"/>
              </w:rPr>
            </w:pPr>
            <w:r>
              <w:rPr>
                <w:b/>
                <w:spacing w:val="-2"/>
                <w:sz w:val="18"/>
              </w:rPr>
              <w:t>Total</w:t>
            </w:r>
          </w:p>
        </w:tc>
        <w:tc>
          <w:tcPr>
            <w:tcW w:w="1330" w:type="dxa"/>
            <w:tcBorders>
              <w:top w:val="single" w:sz="8" w:space="0" w:color="000000"/>
              <w:bottom w:val="double" w:sz="6" w:space="0" w:color="000000"/>
            </w:tcBorders>
          </w:tcPr>
          <w:p>
            <w:pPr>
              <w:pStyle w:val="TableParagraph"/>
              <w:spacing w:before="54"/>
              <w:ind w:right="67"/>
              <w:jc w:val="right"/>
              <w:rPr>
                <w:b/>
                <w:sz w:val="18"/>
              </w:rPr>
            </w:pPr>
            <w:r>
              <w:rPr>
                <w:b/>
                <w:spacing w:val="-2"/>
                <w:sz w:val="18"/>
              </w:rPr>
              <w:t>1.050.037,35</w:t>
            </w:r>
          </w:p>
        </w:tc>
      </w:tr>
    </w:tbl>
    <w:p>
      <w:pPr>
        <w:pStyle w:val="BodyText"/>
      </w:pPr>
    </w:p>
    <w:p>
      <w:pPr>
        <w:pStyle w:val="BodyText"/>
        <w:spacing w:before="177"/>
      </w:pPr>
    </w:p>
    <w:p>
      <w:pPr>
        <w:pStyle w:val="Heading1"/>
        <w:numPr>
          <w:ilvl w:val="0"/>
          <w:numId w:val="1"/>
        </w:numPr>
        <w:tabs>
          <w:tab w:pos="708" w:val="left" w:leader="none"/>
        </w:tabs>
        <w:spacing w:line="240" w:lineRule="auto" w:before="0" w:after="0"/>
        <w:ind w:left="708" w:right="0" w:hanging="358"/>
        <w:jc w:val="left"/>
      </w:pPr>
      <w:r>
        <w:rPr/>
        <w:t>Normas</w:t>
      </w:r>
      <w:r>
        <w:rPr>
          <w:spacing w:val="-7"/>
        </w:rPr>
        <w:t> </w:t>
      </w:r>
      <w:r>
        <w:rPr/>
        <w:t>de</w:t>
      </w:r>
      <w:r>
        <w:rPr>
          <w:spacing w:val="-5"/>
        </w:rPr>
        <w:t> </w:t>
      </w:r>
      <w:r>
        <w:rPr/>
        <w:t>registro</w:t>
      </w:r>
      <w:r>
        <w:rPr>
          <w:spacing w:val="-6"/>
        </w:rPr>
        <w:t> </w:t>
      </w:r>
      <w:r>
        <w:rPr/>
        <w:t>y</w:t>
      </w:r>
      <w:r>
        <w:rPr>
          <w:spacing w:val="-6"/>
        </w:rPr>
        <w:t> </w:t>
      </w:r>
      <w:r>
        <w:rPr>
          <w:spacing w:val="-2"/>
        </w:rPr>
        <w:t>valoración</w:t>
      </w:r>
    </w:p>
    <w:p>
      <w:pPr>
        <w:pStyle w:val="BodyText"/>
        <w:spacing w:before="12"/>
        <w:rPr>
          <w:b/>
        </w:rPr>
      </w:pPr>
    </w:p>
    <w:p>
      <w:pPr>
        <w:pStyle w:val="BodyText"/>
        <w:spacing w:line="247" w:lineRule="auto"/>
        <w:ind w:left="995" w:right="794"/>
      </w:pPr>
      <w:r>
        <w:rPr/>
        <w:t>Las</w:t>
      </w:r>
      <w:r>
        <w:rPr>
          <w:spacing w:val="-4"/>
        </w:rPr>
        <w:t> </w:t>
      </w:r>
      <w:r>
        <w:rPr/>
        <w:t>principales</w:t>
      </w:r>
      <w:r>
        <w:rPr>
          <w:spacing w:val="-4"/>
        </w:rPr>
        <w:t> </w:t>
      </w:r>
      <w:r>
        <w:rPr/>
        <w:t>normas</w:t>
      </w:r>
      <w:r>
        <w:rPr>
          <w:spacing w:val="-4"/>
        </w:rPr>
        <w:t> </w:t>
      </w:r>
      <w:r>
        <w:rPr/>
        <w:t>de</w:t>
      </w:r>
      <w:r>
        <w:rPr>
          <w:spacing w:val="-3"/>
        </w:rPr>
        <w:t> </w:t>
      </w:r>
      <w:r>
        <w:rPr/>
        <w:t>registro</w:t>
      </w:r>
      <w:r>
        <w:rPr>
          <w:spacing w:val="-3"/>
        </w:rPr>
        <w:t> </w:t>
      </w:r>
      <w:r>
        <w:rPr/>
        <w:t>y</w:t>
      </w:r>
      <w:r>
        <w:rPr>
          <w:spacing w:val="-3"/>
        </w:rPr>
        <w:t> </w:t>
      </w:r>
      <w:r>
        <w:rPr/>
        <w:t>valoración</w:t>
      </w:r>
      <w:r>
        <w:rPr>
          <w:spacing w:val="-3"/>
        </w:rPr>
        <w:t> </w:t>
      </w:r>
      <w:r>
        <w:rPr/>
        <w:t>utilizadas</w:t>
      </w:r>
      <w:r>
        <w:rPr>
          <w:spacing w:val="-4"/>
        </w:rPr>
        <w:t> </w:t>
      </w:r>
      <w:r>
        <w:rPr/>
        <w:t>para</w:t>
      </w:r>
      <w:r>
        <w:rPr>
          <w:spacing w:val="-4"/>
        </w:rPr>
        <w:t> </w:t>
      </w:r>
      <w:r>
        <w:rPr/>
        <w:t>la</w:t>
      </w:r>
      <w:r>
        <w:rPr>
          <w:spacing w:val="-4"/>
        </w:rPr>
        <w:t> </w:t>
      </w:r>
      <w:r>
        <w:rPr/>
        <w:t>formulación</w:t>
      </w:r>
      <w:r>
        <w:rPr>
          <w:spacing w:val="-3"/>
        </w:rPr>
        <w:t> </w:t>
      </w:r>
      <w:r>
        <w:rPr/>
        <w:t>de</w:t>
      </w:r>
      <w:r>
        <w:rPr>
          <w:spacing w:val="-4"/>
        </w:rPr>
        <w:t> </w:t>
      </w:r>
      <w:r>
        <w:rPr/>
        <w:t>las</w:t>
      </w:r>
      <w:r>
        <w:rPr>
          <w:spacing w:val="-4"/>
        </w:rPr>
        <w:t> </w:t>
      </w:r>
      <w:r>
        <w:rPr/>
        <w:t>cuentas</w:t>
      </w:r>
      <w:r>
        <w:rPr>
          <w:spacing w:val="-3"/>
        </w:rPr>
        <w:t> </w:t>
      </w:r>
      <w:r>
        <w:rPr/>
        <w:t>anuales abreviadas son las siguientes:</w:t>
      </w:r>
    </w:p>
    <w:p>
      <w:pPr>
        <w:pStyle w:val="BodyText"/>
        <w:spacing w:before="5"/>
      </w:pPr>
    </w:p>
    <w:p>
      <w:pPr>
        <w:pStyle w:val="ListParagraph"/>
        <w:numPr>
          <w:ilvl w:val="1"/>
          <w:numId w:val="1"/>
        </w:numPr>
        <w:tabs>
          <w:tab w:pos="283" w:val="left" w:leader="none"/>
        </w:tabs>
        <w:spacing w:line="240" w:lineRule="auto" w:before="0" w:after="0"/>
        <w:ind w:left="283" w:right="7381" w:hanging="283"/>
        <w:jc w:val="right"/>
        <w:rPr>
          <w:sz w:val="22"/>
        </w:rPr>
      </w:pPr>
      <w:r>
        <w:rPr>
          <w:spacing w:val="-2"/>
          <w:sz w:val="22"/>
        </w:rPr>
        <w:t>Inmovilizado</w:t>
      </w:r>
      <w:r>
        <w:rPr>
          <w:spacing w:val="4"/>
          <w:sz w:val="22"/>
        </w:rPr>
        <w:t> </w:t>
      </w:r>
      <w:r>
        <w:rPr>
          <w:spacing w:val="-2"/>
          <w:sz w:val="22"/>
        </w:rPr>
        <w:t>intangible</w:t>
      </w:r>
    </w:p>
    <w:p>
      <w:pPr>
        <w:pStyle w:val="BodyText"/>
        <w:spacing w:before="16"/>
      </w:pPr>
    </w:p>
    <w:p>
      <w:pPr>
        <w:pStyle w:val="BodyText"/>
        <w:spacing w:line="247" w:lineRule="auto"/>
        <w:ind w:left="1278" w:right="851"/>
        <w:jc w:val="both"/>
      </w:pPr>
      <w:r>
        <w:rPr/>
        <w:t>Como norma general, el inmovilizado intangible se registra siempre que cumpla con el criterio de identificabilidad y se valora inicialmente por su precio de adquisición o coste de producción, minorado, posteriormente, por la correspondiente amortización acumulada y, en su caso, por las pérdidas por deterioro que haya experimentado. En particular se aplican los siguientes criterios:</w:t>
      </w:r>
    </w:p>
    <w:p>
      <w:pPr>
        <w:pStyle w:val="BodyText"/>
        <w:spacing w:before="4"/>
      </w:pPr>
    </w:p>
    <w:p>
      <w:pPr>
        <w:pStyle w:val="ListParagraph"/>
        <w:numPr>
          <w:ilvl w:val="2"/>
          <w:numId w:val="1"/>
        </w:numPr>
        <w:tabs>
          <w:tab w:pos="396" w:val="left" w:leader="none"/>
        </w:tabs>
        <w:spacing w:line="240" w:lineRule="auto" w:before="1" w:after="0"/>
        <w:ind w:left="396" w:right="7310" w:hanging="396"/>
        <w:jc w:val="right"/>
        <w:rPr>
          <w:sz w:val="22"/>
        </w:rPr>
      </w:pPr>
      <w:r>
        <w:rPr>
          <w:sz w:val="22"/>
        </w:rPr>
        <w:t>Propiedad</w:t>
      </w:r>
      <w:r>
        <w:rPr>
          <w:spacing w:val="-12"/>
          <w:sz w:val="22"/>
        </w:rPr>
        <w:t> </w:t>
      </w:r>
      <w:r>
        <w:rPr>
          <w:spacing w:val="-2"/>
          <w:sz w:val="22"/>
        </w:rPr>
        <w:t>industrial</w:t>
      </w:r>
    </w:p>
    <w:p>
      <w:pPr>
        <w:pStyle w:val="BodyText"/>
        <w:spacing w:before="12"/>
      </w:pPr>
    </w:p>
    <w:p>
      <w:pPr>
        <w:pStyle w:val="BodyText"/>
        <w:spacing w:line="247" w:lineRule="auto"/>
        <w:ind w:left="1705" w:right="794"/>
      </w:pPr>
      <w:r>
        <w:rPr/>
        <w:t>Se</w:t>
      </w:r>
      <w:r>
        <w:rPr>
          <w:spacing w:val="29"/>
        </w:rPr>
        <w:t> </w:t>
      </w:r>
      <w:r>
        <w:rPr/>
        <w:t>valoran</w:t>
      </w:r>
      <w:r>
        <w:rPr>
          <w:spacing w:val="29"/>
        </w:rPr>
        <w:t> </w:t>
      </w:r>
      <w:r>
        <w:rPr/>
        <w:t>inicialmente</w:t>
      </w:r>
      <w:r>
        <w:rPr>
          <w:spacing w:val="29"/>
        </w:rPr>
        <w:t> </w:t>
      </w:r>
      <w:r>
        <w:rPr/>
        <w:t>a</w:t>
      </w:r>
      <w:r>
        <w:rPr>
          <w:spacing w:val="30"/>
        </w:rPr>
        <w:t> </w:t>
      </w:r>
      <w:r>
        <w:rPr/>
        <w:t>coste</w:t>
      </w:r>
      <w:r>
        <w:rPr>
          <w:spacing w:val="29"/>
        </w:rPr>
        <w:t> </w:t>
      </w:r>
      <w:r>
        <w:rPr/>
        <w:t>de</w:t>
      </w:r>
      <w:r>
        <w:rPr>
          <w:spacing w:val="29"/>
        </w:rPr>
        <w:t> </w:t>
      </w:r>
      <w:r>
        <w:rPr/>
        <w:t>adquisición</w:t>
      </w:r>
      <w:r>
        <w:rPr>
          <w:spacing w:val="30"/>
        </w:rPr>
        <w:t> </w:t>
      </w:r>
      <w:r>
        <w:rPr/>
        <w:t>o</w:t>
      </w:r>
      <w:r>
        <w:rPr>
          <w:spacing w:val="30"/>
        </w:rPr>
        <w:t> </w:t>
      </w:r>
      <w:r>
        <w:rPr/>
        <w:t>de</w:t>
      </w:r>
      <w:r>
        <w:rPr>
          <w:spacing w:val="28"/>
        </w:rPr>
        <w:t> </w:t>
      </w:r>
      <w:r>
        <w:rPr/>
        <w:t>producción,</w:t>
      </w:r>
      <w:r>
        <w:rPr>
          <w:spacing w:val="28"/>
        </w:rPr>
        <w:t> </w:t>
      </w:r>
      <w:r>
        <w:rPr/>
        <w:t>incluyendo</w:t>
      </w:r>
      <w:r>
        <w:rPr>
          <w:spacing w:val="30"/>
        </w:rPr>
        <w:t> </w:t>
      </w:r>
      <w:r>
        <w:rPr/>
        <w:t>los</w:t>
      </w:r>
      <w:r>
        <w:rPr>
          <w:spacing w:val="29"/>
        </w:rPr>
        <w:t> </w:t>
      </w:r>
      <w:r>
        <w:rPr/>
        <w:t>costes</w:t>
      </w:r>
      <w:r>
        <w:rPr>
          <w:spacing w:val="29"/>
        </w:rPr>
        <w:t> </w:t>
      </w:r>
      <w:r>
        <w:rPr/>
        <w:t>de registro y formalización. Se amortiza de manera lineal durante su vida útil (4 años-10 años).</w:t>
      </w:r>
    </w:p>
    <w:p>
      <w:pPr>
        <w:pStyle w:val="BodyText"/>
        <w:spacing w:after="0" w:line="247" w:lineRule="auto"/>
        <w:sectPr>
          <w:pgSz w:w="11910" w:h="16840"/>
          <w:pgMar w:header="694" w:footer="690" w:top="1920" w:bottom="880" w:left="708" w:right="425"/>
        </w:sectPr>
      </w:pPr>
    </w:p>
    <w:p>
      <w:pPr>
        <w:pStyle w:val="ListParagraph"/>
        <w:numPr>
          <w:ilvl w:val="2"/>
          <w:numId w:val="1"/>
        </w:numPr>
        <w:tabs>
          <w:tab w:pos="1674" w:val="left" w:leader="none"/>
        </w:tabs>
        <w:spacing w:line="240" w:lineRule="auto" w:before="186" w:after="0"/>
        <w:ind w:left="1674" w:right="0" w:hanging="396"/>
        <w:jc w:val="left"/>
        <w:rPr>
          <w:sz w:val="22"/>
        </w:rPr>
      </w:pPr>
      <w:r>
        <w:rPr>
          <w:spacing w:val="-2"/>
          <w:sz w:val="22"/>
        </w:rPr>
        <w:t>Aplicaciones</w:t>
      </w:r>
      <w:r>
        <w:rPr>
          <w:spacing w:val="2"/>
          <w:sz w:val="22"/>
        </w:rPr>
        <w:t> </w:t>
      </w:r>
      <w:r>
        <w:rPr>
          <w:spacing w:val="-2"/>
          <w:sz w:val="22"/>
        </w:rPr>
        <w:t>informáticas</w:t>
      </w:r>
    </w:p>
    <w:p>
      <w:pPr>
        <w:pStyle w:val="BodyText"/>
        <w:spacing w:before="15"/>
      </w:pPr>
    </w:p>
    <w:p>
      <w:pPr>
        <w:pStyle w:val="BodyText"/>
        <w:spacing w:line="244" w:lineRule="auto" w:before="1"/>
        <w:ind w:left="1705" w:right="856"/>
        <w:jc w:val="both"/>
      </w:pPr>
      <w:r>
        <w:rPr/>
        <w:t>Bajo este concepto se incluyen los importes satisfechos por el acceso a la propiedad o por el derecho al uso de programas informáticos.</w:t>
      </w:r>
    </w:p>
    <w:p>
      <w:pPr>
        <w:pStyle w:val="BodyText"/>
        <w:spacing w:before="8"/>
      </w:pPr>
    </w:p>
    <w:p>
      <w:pPr>
        <w:pStyle w:val="BodyText"/>
        <w:spacing w:line="247" w:lineRule="auto"/>
        <w:ind w:left="1705" w:right="841"/>
        <w:jc w:val="both"/>
      </w:pPr>
      <w:r>
        <w:rPr/>
        <w:t>Los</w:t>
      </w:r>
      <w:r>
        <w:rPr>
          <w:spacing w:val="-7"/>
        </w:rPr>
        <w:t> </w:t>
      </w:r>
      <w:r>
        <w:rPr/>
        <w:t>programas</w:t>
      </w:r>
      <w:r>
        <w:rPr>
          <w:spacing w:val="-7"/>
        </w:rPr>
        <w:t> </w:t>
      </w:r>
      <w:r>
        <w:rPr/>
        <w:t>informáticos</w:t>
      </w:r>
      <w:r>
        <w:rPr>
          <w:spacing w:val="-7"/>
        </w:rPr>
        <w:t> </w:t>
      </w:r>
      <w:r>
        <w:rPr/>
        <w:t>que</w:t>
      </w:r>
      <w:r>
        <w:rPr>
          <w:spacing w:val="-7"/>
        </w:rPr>
        <w:t> </w:t>
      </w:r>
      <w:r>
        <w:rPr/>
        <w:t>cumplen</w:t>
      </w:r>
      <w:r>
        <w:rPr>
          <w:spacing w:val="-7"/>
        </w:rPr>
        <w:t> </w:t>
      </w:r>
      <w:r>
        <w:rPr/>
        <w:t>los</w:t>
      </w:r>
      <w:r>
        <w:rPr>
          <w:spacing w:val="-7"/>
        </w:rPr>
        <w:t> </w:t>
      </w:r>
      <w:r>
        <w:rPr/>
        <w:t>criterios</w:t>
      </w:r>
      <w:r>
        <w:rPr>
          <w:spacing w:val="-8"/>
        </w:rPr>
        <w:t> </w:t>
      </w:r>
      <w:r>
        <w:rPr/>
        <w:t>de</w:t>
      </w:r>
      <w:r>
        <w:rPr>
          <w:spacing w:val="-7"/>
        </w:rPr>
        <w:t> </w:t>
      </w:r>
      <w:r>
        <w:rPr/>
        <w:t>reconocimiento</w:t>
      </w:r>
      <w:r>
        <w:rPr>
          <w:spacing w:val="-7"/>
        </w:rPr>
        <w:t> </w:t>
      </w:r>
      <w:r>
        <w:rPr/>
        <w:t>se</w:t>
      </w:r>
      <w:r>
        <w:rPr>
          <w:spacing w:val="-7"/>
        </w:rPr>
        <w:t> </w:t>
      </w:r>
      <w:r>
        <w:rPr/>
        <w:t>activan</w:t>
      </w:r>
      <w:r>
        <w:rPr>
          <w:spacing w:val="-7"/>
        </w:rPr>
        <w:t> </w:t>
      </w:r>
      <w:r>
        <w:rPr/>
        <w:t>a</w:t>
      </w:r>
      <w:r>
        <w:rPr>
          <w:spacing w:val="-7"/>
        </w:rPr>
        <w:t> </w:t>
      </w:r>
      <w:r>
        <w:rPr/>
        <w:t>su</w:t>
      </w:r>
      <w:r>
        <w:rPr>
          <w:spacing w:val="-7"/>
        </w:rPr>
        <w:t> </w:t>
      </w:r>
      <w:r>
        <w:rPr/>
        <w:t>coste de</w:t>
      </w:r>
      <w:r>
        <w:rPr>
          <w:spacing w:val="-4"/>
        </w:rPr>
        <w:t> </w:t>
      </w:r>
      <w:r>
        <w:rPr/>
        <w:t>adquisición</w:t>
      </w:r>
      <w:r>
        <w:rPr>
          <w:spacing w:val="-3"/>
        </w:rPr>
        <w:t> </w:t>
      </w:r>
      <w:r>
        <w:rPr/>
        <w:t>o</w:t>
      </w:r>
      <w:r>
        <w:rPr>
          <w:spacing w:val="-3"/>
        </w:rPr>
        <w:t> </w:t>
      </w:r>
      <w:r>
        <w:rPr/>
        <w:t>elaboración.</w:t>
      </w:r>
      <w:r>
        <w:rPr>
          <w:spacing w:val="-4"/>
        </w:rPr>
        <w:t> </w:t>
      </w:r>
      <w:r>
        <w:rPr/>
        <w:t>Su</w:t>
      </w:r>
      <w:r>
        <w:rPr>
          <w:spacing w:val="-3"/>
        </w:rPr>
        <w:t> </w:t>
      </w:r>
      <w:r>
        <w:rPr/>
        <w:t>amortización</w:t>
      </w:r>
      <w:r>
        <w:rPr>
          <w:spacing w:val="-3"/>
        </w:rPr>
        <w:t> </w:t>
      </w:r>
      <w:r>
        <w:rPr/>
        <w:t>se</w:t>
      </w:r>
      <w:r>
        <w:rPr>
          <w:spacing w:val="-4"/>
        </w:rPr>
        <w:t> </w:t>
      </w:r>
      <w:r>
        <w:rPr/>
        <w:t>realiza</w:t>
      </w:r>
      <w:r>
        <w:rPr>
          <w:spacing w:val="-4"/>
        </w:rPr>
        <w:t> </w:t>
      </w:r>
      <w:r>
        <w:rPr/>
        <w:t>linealmente</w:t>
      </w:r>
      <w:r>
        <w:rPr>
          <w:spacing w:val="-4"/>
        </w:rPr>
        <w:t> </w:t>
      </w:r>
      <w:r>
        <w:rPr/>
        <w:t>en</w:t>
      </w:r>
      <w:r>
        <w:rPr>
          <w:spacing w:val="-3"/>
        </w:rPr>
        <w:t> </w:t>
      </w:r>
      <w:r>
        <w:rPr/>
        <w:t>un</w:t>
      </w:r>
      <w:r>
        <w:rPr>
          <w:spacing w:val="-3"/>
        </w:rPr>
        <w:t> </w:t>
      </w:r>
      <w:r>
        <w:rPr/>
        <w:t>periodo</w:t>
      </w:r>
      <w:r>
        <w:rPr>
          <w:spacing w:val="-3"/>
        </w:rPr>
        <w:t> </w:t>
      </w:r>
      <w:r>
        <w:rPr/>
        <w:t>de</w:t>
      </w:r>
      <w:r>
        <w:rPr>
          <w:spacing w:val="40"/>
        </w:rPr>
        <w:t> </w:t>
      </w:r>
      <w:r>
        <w:rPr/>
        <w:t>4</w:t>
      </w:r>
      <w:r>
        <w:rPr>
          <w:spacing w:val="-3"/>
        </w:rPr>
        <w:t> </w:t>
      </w:r>
      <w:r>
        <w:rPr/>
        <w:t>años desde la entrada en explotación de cada aplicación.</w:t>
      </w:r>
    </w:p>
    <w:p>
      <w:pPr>
        <w:pStyle w:val="BodyText"/>
        <w:spacing w:before="4"/>
      </w:pPr>
    </w:p>
    <w:p>
      <w:pPr>
        <w:pStyle w:val="BodyText"/>
        <w:spacing w:line="247" w:lineRule="auto" w:before="1"/>
        <w:ind w:left="1705" w:right="855"/>
        <w:jc w:val="both"/>
      </w:pPr>
      <w:r>
        <w:rPr/>
        <w:t>Los costes de mantenimiento de las aplicaciones informáticas se imputan a resultados del ejercicio en que se incurren.</w:t>
      </w:r>
    </w:p>
    <w:p>
      <w:pPr>
        <w:pStyle w:val="BodyText"/>
        <w:spacing w:before="5"/>
      </w:pPr>
    </w:p>
    <w:p>
      <w:pPr>
        <w:pStyle w:val="ListParagraph"/>
        <w:numPr>
          <w:ilvl w:val="1"/>
          <w:numId w:val="1"/>
        </w:numPr>
        <w:tabs>
          <w:tab w:pos="1276" w:val="left" w:leader="none"/>
        </w:tabs>
        <w:spacing w:line="240" w:lineRule="auto" w:before="1" w:after="0"/>
        <w:ind w:left="1276" w:right="0" w:hanging="281"/>
        <w:jc w:val="left"/>
        <w:rPr>
          <w:sz w:val="22"/>
        </w:rPr>
      </w:pPr>
      <w:r>
        <w:rPr>
          <w:spacing w:val="-2"/>
          <w:sz w:val="22"/>
        </w:rPr>
        <w:t>Inmovilizado</w:t>
      </w:r>
      <w:r>
        <w:rPr>
          <w:spacing w:val="4"/>
          <w:sz w:val="22"/>
        </w:rPr>
        <w:t> </w:t>
      </w:r>
      <w:r>
        <w:rPr>
          <w:spacing w:val="-2"/>
          <w:sz w:val="22"/>
        </w:rPr>
        <w:t>material</w:t>
      </w:r>
    </w:p>
    <w:p>
      <w:pPr>
        <w:pStyle w:val="BodyText"/>
        <w:spacing w:before="14"/>
      </w:pPr>
    </w:p>
    <w:p>
      <w:pPr>
        <w:pStyle w:val="BodyText"/>
        <w:spacing w:line="244" w:lineRule="auto"/>
        <w:ind w:left="1278" w:right="851"/>
        <w:jc w:val="both"/>
      </w:pPr>
      <w:r>
        <w:rPr/>
        <w:t>El inmovilizado material</w:t>
      </w:r>
      <w:r>
        <w:rPr>
          <w:spacing w:val="-1"/>
        </w:rPr>
        <w:t> </w:t>
      </w:r>
      <w:r>
        <w:rPr/>
        <w:t>se</w:t>
      </w:r>
      <w:r>
        <w:rPr>
          <w:spacing w:val="-4"/>
        </w:rPr>
        <w:t> </w:t>
      </w:r>
      <w:r>
        <w:rPr/>
        <w:t>valora por su precio</w:t>
      </w:r>
      <w:r>
        <w:rPr>
          <w:spacing w:val="-1"/>
        </w:rPr>
        <w:t> </w:t>
      </w:r>
      <w:r>
        <w:rPr/>
        <w:t>de adquisición o</w:t>
      </w:r>
      <w:r>
        <w:rPr>
          <w:spacing w:val="-2"/>
        </w:rPr>
        <w:t> </w:t>
      </w:r>
      <w:r>
        <w:rPr/>
        <w:t>coste de producción y minorado por la correspondiente amortización acumulada y las pérdidas por deterioro experimentadas.</w:t>
      </w:r>
    </w:p>
    <w:p>
      <w:pPr>
        <w:pStyle w:val="BodyText"/>
        <w:spacing w:before="10"/>
      </w:pPr>
    </w:p>
    <w:p>
      <w:pPr>
        <w:pStyle w:val="BodyText"/>
        <w:spacing w:line="247" w:lineRule="auto"/>
        <w:ind w:left="1278" w:right="846"/>
        <w:jc w:val="both"/>
      </w:pPr>
      <w:r>
        <w:rPr/>
        <w:t>Los costes de ampliación, modernización o mejoras que representan un aumento de la productividad, capacidad o eficiencia, o un alargamiento de la vida útil de los bienes, se contabilizan</w:t>
      </w:r>
      <w:r>
        <w:rPr>
          <w:spacing w:val="-1"/>
        </w:rPr>
        <w:t> </w:t>
      </w:r>
      <w:r>
        <w:rPr/>
        <w:t>como</w:t>
      </w:r>
      <w:r>
        <w:rPr>
          <w:spacing w:val="-2"/>
        </w:rPr>
        <w:t> </w:t>
      </w:r>
      <w:r>
        <w:rPr/>
        <w:t>un</w:t>
      </w:r>
      <w:r>
        <w:rPr>
          <w:spacing w:val="-1"/>
        </w:rPr>
        <w:t> </w:t>
      </w:r>
      <w:r>
        <w:rPr/>
        <w:t>mayor</w:t>
      </w:r>
      <w:r>
        <w:rPr>
          <w:spacing w:val="-2"/>
        </w:rPr>
        <w:t> </w:t>
      </w:r>
      <w:r>
        <w:rPr/>
        <w:t>coste</w:t>
      </w:r>
      <w:r>
        <w:rPr>
          <w:spacing w:val="-2"/>
        </w:rPr>
        <w:t> </w:t>
      </w:r>
      <w:r>
        <w:rPr/>
        <w:t>de</w:t>
      </w:r>
      <w:r>
        <w:rPr>
          <w:spacing w:val="-2"/>
        </w:rPr>
        <w:t> </w:t>
      </w:r>
      <w:r>
        <w:rPr/>
        <w:t>los</w:t>
      </w:r>
      <w:r>
        <w:rPr>
          <w:spacing w:val="-2"/>
        </w:rPr>
        <w:t> </w:t>
      </w:r>
      <w:r>
        <w:rPr/>
        <w:t>mismos.</w:t>
      </w:r>
      <w:r>
        <w:rPr>
          <w:spacing w:val="-1"/>
        </w:rPr>
        <w:t> </w:t>
      </w:r>
      <w:r>
        <w:rPr/>
        <w:t>Los</w:t>
      </w:r>
      <w:r>
        <w:rPr>
          <w:spacing w:val="-3"/>
        </w:rPr>
        <w:t> </w:t>
      </w:r>
      <w:r>
        <w:rPr/>
        <w:t>gastos</w:t>
      </w:r>
      <w:r>
        <w:rPr>
          <w:spacing w:val="-2"/>
        </w:rPr>
        <w:t> </w:t>
      </w:r>
      <w:r>
        <w:rPr/>
        <w:t>de</w:t>
      </w:r>
      <w:r>
        <w:rPr>
          <w:spacing w:val="-2"/>
        </w:rPr>
        <w:t> </w:t>
      </w:r>
      <w:r>
        <w:rPr/>
        <w:t>conservación y</w:t>
      </w:r>
      <w:r>
        <w:rPr>
          <w:spacing w:val="-1"/>
        </w:rPr>
        <w:t> </w:t>
      </w:r>
      <w:r>
        <w:rPr/>
        <w:t>mantenimiento</w:t>
      </w:r>
      <w:r>
        <w:rPr>
          <w:spacing w:val="-1"/>
        </w:rPr>
        <w:t> </w:t>
      </w:r>
      <w:r>
        <w:rPr/>
        <w:t>se cargan a la cuenta de pérdidas y ganancias del ejercicio en que se incurren.</w:t>
      </w:r>
    </w:p>
    <w:p>
      <w:pPr>
        <w:pStyle w:val="BodyText"/>
        <w:spacing w:before="6"/>
      </w:pPr>
    </w:p>
    <w:p>
      <w:pPr>
        <w:pStyle w:val="BodyText"/>
        <w:spacing w:line="244" w:lineRule="auto"/>
        <w:ind w:left="1278" w:right="847"/>
        <w:jc w:val="both"/>
      </w:pPr>
      <w:r>
        <w:rPr/>
        <w:t>Los trabajos efectuados por la Sociedad para su propio inmovilizado se reflejan en base al precio de</w:t>
      </w:r>
      <w:r>
        <w:rPr>
          <w:spacing w:val="-7"/>
        </w:rPr>
        <w:t> </w:t>
      </w:r>
      <w:r>
        <w:rPr/>
        <w:t>coste</w:t>
      </w:r>
      <w:r>
        <w:rPr>
          <w:spacing w:val="-7"/>
        </w:rPr>
        <w:t> </w:t>
      </w:r>
      <w:r>
        <w:rPr/>
        <w:t>de</w:t>
      </w:r>
      <w:r>
        <w:rPr>
          <w:spacing w:val="-7"/>
        </w:rPr>
        <w:t> </w:t>
      </w:r>
      <w:r>
        <w:rPr/>
        <w:t>las</w:t>
      </w:r>
      <w:r>
        <w:rPr>
          <w:spacing w:val="-7"/>
        </w:rPr>
        <w:t> </w:t>
      </w:r>
      <w:r>
        <w:rPr/>
        <w:t>materias</w:t>
      </w:r>
      <w:r>
        <w:rPr>
          <w:spacing w:val="-6"/>
        </w:rPr>
        <w:t> </w:t>
      </w:r>
      <w:r>
        <w:rPr/>
        <w:t>primas</w:t>
      </w:r>
      <w:r>
        <w:rPr>
          <w:spacing w:val="-8"/>
        </w:rPr>
        <w:t> </w:t>
      </w:r>
      <w:r>
        <w:rPr/>
        <w:t>y</w:t>
      </w:r>
      <w:r>
        <w:rPr>
          <w:spacing w:val="-6"/>
        </w:rPr>
        <w:t> </w:t>
      </w:r>
      <w:r>
        <w:rPr/>
        <w:t>otras</w:t>
      </w:r>
      <w:r>
        <w:rPr>
          <w:spacing w:val="-7"/>
        </w:rPr>
        <w:t> </w:t>
      </w:r>
      <w:r>
        <w:rPr/>
        <w:t>materias</w:t>
      </w:r>
      <w:r>
        <w:rPr>
          <w:spacing w:val="-6"/>
        </w:rPr>
        <w:t> </w:t>
      </w:r>
      <w:r>
        <w:rPr/>
        <w:t>consumibles,</w:t>
      </w:r>
      <w:r>
        <w:rPr>
          <w:spacing w:val="-7"/>
        </w:rPr>
        <w:t> </w:t>
      </w:r>
      <w:r>
        <w:rPr/>
        <w:t>los</w:t>
      </w:r>
      <w:r>
        <w:rPr>
          <w:spacing w:val="-7"/>
        </w:rPr>
        <w:t> </w:t>
      </w:r>
      <w:r>
        <w:rPr/>
        <w:t>costes</w:t>
      </w:r>
      <w:r>
        <w:rPr>
          <w:spacing w:val="-8"/>
        </w:rPr>
        <w:t> </w:t>
      </w:r>
      <w:r>
        <w:rPr/>
        <w:t>directamente</w:t>
      </w:r>
      <w:r>
        <w:rPr>
          <w:spacing w:val="-7"/>
        </w:rPr>
        <w:t> </w:t>
      </w:r>
      <w:r>
        <w:rPr/>
        <w:t>imputables</w:t>
      </w:r>
      <w:r>
        <w:rPr>
          <w:spacing w:val="37"/>
        </w:rPr>
        <w:t> </w:t>
      </w:r>
      <w:r>
        <w:rPr/>
        <w:t>a dichos bienes, así como una proporción razonable de los costes indirectos.</w:t>
      </w:r>
    </w:p>
    <w:p>
      <w:pPr>
        <w:pStyle w:val="BodyText"/>
        <w:spacing w:before="8"/>
      </w:pPr>
    </w:p>
    <w:p>
      <w:pPr>
        <w:pStyle w:val="BodyText"/>
        <w:spacing w:line="244" w:lineRule="auto" w:before="1"/>
        <w:ind w:left="1278" w:right="846"/>
        <w:jc w:val="both"/>
      </w:pPr>
      <w:r>
        <w:rPr/>
        <w:t>La Sociedad amortiza su inmovilizado material de forma lineal. Los porcentajes de amortización aplicados son los siguientes:</w:t>
      </w:r>
    </w:p>
    <w:p>
      <w:pPr>
        <w:pStyle w:val="BodyText"/>
        <w:spacing w:before="2"/>
      </w:pPr>
    </w:p>
    <w:p>
      <w:pPr>
        <w:tabs>
          <w:tab w:pos="5615" w:val="left" w:leader="none"/>
          <w:tab w:pos="5975" w:val="left" w:leader="none"/>
        </w:tabs>
        <w:spacing w:before="0"/>
        <w:ind w:left="2906" w:right="0" w:firstLine="0"/>
        <w:jc w:val="left"/>
        <w:rPr>
          <w:b/>
          <w:sz w:val="16"/>
        </w:rPr>
      </w:pPr>
      <w:r>
        <w:rPr>
          <w:b/>
          <w:spacing w:val="28"/>
          <w:sz w:val="16"/>
          <w:u w:val="single"/>
        </w:rPr>
        <w:t> </w:t>
      </w:r>
      <w:r>
        <w:rPr>
          <w:b/>
          <w:spacing w:val="-2"/>
          <w:sz w:val="16"/>
          <w:u w:val="single"/>
        </w:rPr>
        <w:t>Cuenta</w:t>
      </w:r>
      <w:r>
        <w:rPr>
          <w:b/>
          <w:sz w:val="16"/>
          <w:u w:val="single"/>
        </w:rPr>
        <w:tab/>
      </w:r>
      <w:r>
        <w:rPr>
          <w:b/>
          <w:sz w:val="16"/>
          <w:u w:val="none"/>
        </w:rPr>
        <w:tab/>
      </w:r>
      <w:r>
        <w:rPr>
          <w:b/>
          <w:spacing w:val="32"/>
          <w:sz w:val="16"/>
          <w:u w:val="single"/>
        </w:rPr>
        <w:t> </w:t>
      </w:r>
      <w:r>
        <w:rPr>
          <w:b/>
          <w:sz w:val="16"/>
          <w:u w:val="single"/>
        </w:rPr>
        <w:t>Años de vida útil estimada</w:t>
      </w:r>
      <w:r>
        <w:rPr>
          <w:b/>
          <w:spacing w:val="40"/>
          <w:sz w:val="16"/>
          <w:u w:val="single"/>
        </w:rPr>
        <w:t> </w:t>
      </w:r>
    </w:p>
    <w:p>
      <w:pPr>
        <w:tabs>
          <w:tab w:pos="7034" w:val="right" w:leader="none"/>
        </w:tabs>
        <w:spacing w:before="20"/>
        <w:ind w:left="2976" w:right="0" w:firstLine="0"/>
        <w:jc w:val="left"/>
        <w:rPr>
          <w:sz w:val="16"/>
        </w:rPr>
      </w:pPr>
      <w:r>
        <w:rPr>
          <w:spacing w:val="-2"/>
          <w:sz w:val="16"/>
        </w:rPr>
        <w:t>Mobiliario</w:t>
      </w:r>
      <w:r>
        <w:rPr>
          <w:sz w:val="16"/>
        </w:rPr>
        <w:tab/>
      </w:r>
      <w:r>
        <w:rPr>
          <w:spacing w:val="-10"/>
          <w:sz w:val="16"/>
        </w:rPr>
        <w:t>8</w:t>
      </w:r>
    </w:p>
    <w:p>
      <w:pPr>
        <w:tabs>
          <w:tab w:pos="7034" w:val="right" w:leader="none"/>
        </w:tabs>
        <w:spacing w:before="1"/>
        <w:ind w:left="2976" w:right="0" w:firstLine="0"/>
        <w:jc w:val="left"/>
        <w:rPr>
          <w:sz w:val="16"/>
        </w:rPr>
      </w:pPr>
      <w:r>
        <w:rPr>
          <w:sz w:val="16"/>
        </w:rPr>
        <w:t>Equipos</w:t>
      </w:r>
      <w:r>
        <w:rPr>
          <w:spacing w:val="-5"/>
          <w:sz w:val="16"/>
        </w:rPr>
        <w:t> </w:t>
      </w:r>
      <w:r>
        <w:rPr>
          <w:sz w:val="16"/>
        </w:rPr>
        <w:t>para</w:t>
      </w:r>
      <w:r>
        <w:rPr>
          <w:spacing w:val="-5"/>
          <w:sz w:val="16"/>
        </w:rPr>
        <w:t> </w:t>
      </w:r>
      <w:r>
        <w:rPr>
          <w:sz w:val="16"/>
        </w:rPr>
        <w:t>procesos</w:t>
      </w:r>
      <w:r>
        <w:rPr>
          <w:spacing w:val="-5"/>
          <w:sz w:val="16"/>
        </w:rPr>
        <w:t> </w:t>
      </w:r>
      <w:r>
        <w:rPr>
          <w:sz w:val="16"/>
        </w:rPr>
        <w:t>de</w:t>
      </w:r>
      <w:r>
        <w:rPr>
          <w:spacing w:val="-5"/>
          <w:sz w:val="16"/>
        </w:rPr>
        <w:t> </w:t>
      </w:r>
      <w:r>
        <w:rPr>
          <w:spacing w:val="-2"/>
          <w:sz w:val="16"/>
        </w:rPr>
        <w:t>información</w:t>
      </w:r>
      <w:r>
        <w:rPr>
          <w:sz w:val="16"/>
        </w:rPr>
        <w:tab/>
      </w:r>
      <w:r>
        <w:rPr>
          <w:spacing w:val="-10"/>
          <w:sz w:val="16"/>
        </w:rPr>
        <w:t>4</w:t>
      </w:r>
    </w:p>
    <w:p>
      <w:pPr>
        <w:pStyle w:val="ListParagraph"/>
        <w:numPr>
          <w:ilvl w:val="1"/>
          <w:numId w:val="1"/>
        </w:numPr>
        <w:tabs>
          <w:tab w:pos="1276" w:val="left" w:leader="none"/>
        </w:tabs>
        <w:spacing w:line="240" w:lineRule="auto" w:before="258" w:after="0"/>
        <w:ind w:left="1276" w:right="0" w:hanging="281"/>
        <w:jc w:val="left"/>
        <w:rPr>
          <w:sz w:val="22"/>
        </w:rPr>
      </w:pPr>
      <w:r>
        <w:rPr>
          <w:sz w:val="22"/>
        </w:rPr>
        <w:t>Deterioro</w:t>
      </w:r>
      <w:r>
        <w:rPr>
          <w:spacing w:val="-11"/>
          <w:sz w:val="22"/>
        </w:rPr>
        <w:t> </w:t>
      </w:r>
      <w:r>
        <w:rPr>
          <w:sz w:val="22"/>
        </w:rPr>
        <w:t>de</w:t>
      </w:r>
      <w:r>
        <w:rPr>
          <w:spacing w:val="-13"/>
          <w:sz w:val="22"/>
        </w:rPr>
        <w:t> </w:t>
      </w:r>
      <w:r>
        <w:rPr>
          <w:sz w:val="22"/>
        </w:rPr>
        <w:t>valor</w:t>
      </w:r>
      <w:r>
        <w:rPr>
          <w:spacing w:val="-10"/>
          <w:sz w:val="22"/>
        </w:rPr>
        <w:t> </w:t>
      </w:r>
      <w:r>
        <w:rPr>
          <w:sz w:val="22"/>
        </w:rPr>
        <w:t>del</w:t>
      </w:r>
      <w:r>
        <w:rPr>
          <w:spacing w:val="-12"/>
          <w:sz w:val="22"/>
        </w:rPr>
        <w:t> </w:t>
      </w:r>
      <w:r>
        <w:rPr>
          <w:sz w:val="22"/>
        </w:rPr>
        <w:t>inmovilizado</w:t>
      </w:r>
      <w:r>
        <w:rPr>
          <w:spacing w:val="-7"/>
          <w:sz w:val="22"/>
        </w:rPr>
        <w:t> </w:t>
      </w:r>
      <w:r>
        <w:rPr>
          <w:sz w:val="22"/>
        </w:rPr>
        <w:t>intangible</w:t>
      </w:r>
      <w:r>
        <w:rPr>
          <w:spacing w:val="-11"/>
          <w:sz w:val="22"/>
        </w:rPr>
        <w:t> </w:t>
      </w:r>
      <w:r>
        <w:rPr>
          <w:sz w:val="22"/>
        </w:rPr>
        <w:t>y</w:t>
      </w:r>
      <w:r>
        <w:rPr>
          <w:spacing w:val="-12"/>
          <w:sz w:val="22"/>
        </w:rPr>
        <w:t> </w:t>
      </w:r>
      <w:r>
        <w:rPr>
          <w:spacing w:val="-2"/>
          <w:sz w:val="22"/>
        </w:rPr>
        <w:t>material</w:t>
      </w:r>
    </w:p>
    <w:p>
      <w:pPr>
        <w:pStyle w:val="BodyText"/>
        <w:spacing w:line="247" w:lineRule="auto" w:before="265"/>
        <w:ind w:left="1278" w:right="856"/>
        <w:jc w:val="both"/>
      </w:pPr>
      <w:r>
        <w:rPr/>
        <w:t>Se produce una pérdida por deterioro del valor de un elemento del inmovilizado material o intangible cuando su valor contable supera su valor recuperable, entendido éste como el mayor importe entre su valor razonable menos los costes de venta y su valor en uso.</w:t>
      </w:r>
    </w:p>
    <w:p>
      <w:pPr>
        <w:pStyle w:val="BodyText"/>
        <w:spacing w:line="247" w:lineRule="auto" w:before="259"/>
        <w:ind w:left="1278" w:right="843"/>
        <w:jc w:val="both"/>
      </w:pPr>
      <w:r>
        <w:rPr/>
        <w:t>A</w:t>
      </w:r>
      <w:r>
        <w:rPr>
          <w:spacing w:val="-1"/>
        </w:rPr>
        <w:t> </w:t>
      </w:r>
      <w:r>
        <w:rPr/>
        <w:t>estos</w:t>
      </w:r>
      <w:r>
        <w:rPr>
          <w:spacing w:val="-1"/>
        </w:rPr>
        <w:t> </w:t>
      </w:r>
      <w:r>
        <w:rPr/>
        <w:t>efectos,</w:t>
      </w:r>
      <w:r>
        <w:rPr>
          <w:spacing w:val="-1"/>
        </w:rPr>
        <w:t> </w:t>
      </w:r>
      <w:r>
        <w:rPr/>
        <w:t>al</w:t>
      </w:r>
      <w:r>
        <w:rPr>
          <w:spacing w:val="-1"/>
        </w:rPr>
        <w:t> </w:t>
      </w:r>
      <w:r>
        <w:rPr/>
        <w:t>menos</w:t>
      </w:r>
      <w:r>
        <w:rPr>
          <w:spacing w:val="-1"/>
        </w:rPr>
        <w:t> </w:t>
      </w:r>
      <w:r>
        <w:rPr/>
        <w:t>al</w:t>
      </w:r>
      <w:r>
        <w:rPr>
          <w:spacing w:val="-1"/>
        </w:rPr>
        <w:t> </w:t>
      </w:r>
      <w:r>
        <w:rPr/>
        <w:t>cierre</w:t>
      </w:r>
      <w:r>
        <w:rPr>
          <w:spacing w:val="-1"/>
        </w:rPr>
        <w:t> </w:t>
      </w:r>
      <w:r>
        <w:rPr/>
        <w:t>del</w:t>
      </w:r>
      <w:r>
        <w:rPr>
          <w:spacing w:val="-1"/>
        </w:rPr>
        <w:t> </w:t>
      </w:r>
      <w:r>
        <w:rPr/>
        <w:t>ejercicio,</w:t>
      </w:r>
      <w:r>
        <w:rPr>
          <w:spacing w:val="-2"/>
        </w:rPr>
        <w:t> </w:t>
      </w:r>
      <w:r>
        <w:rPr/>
        <w:t>la</w:t>
      </w:r>
      <w:r>
        <w:rPr>
          <w:spacing w:val="-1"/>
        </w:rPr>
        <w:t> </w:t>
      </w:r>
      <w:r>
        <w:rPr/>
        <w:t>Sociedad</w:t>
      </w:r>
      <w:r>
        <w:rPr>
          <w:spacing w:val="-1"/>
        </w:rPr>
        <w:t> </w:t>
      </w:r>
      <w:r>
        <w:rPr/>
        <w:t>evalúa,</w:t>
      </w:r>
      <w:r>
        <w:rPr>
          <w:spacing w:val="-1"/>
        </w:rPr>
        <w:t> </w:t>
      </w:r>
      <w:r>
        <w:rPr/>
        <w:t>mediante el denominado</w:t>
      </w:r>
      <w:r>
        <w:rPr>
          <w:spacing w:val="-2"/>
        </w:rPr>
        <w:t> </w:t>
      </w:r>
      <w:r>
        <w:rPr/>
        <w:t>“test de deterioro”, si existen indicios de que algún inmovilizado material o intangible, con vida útil indefinida, o en su caso alguna unidad generadora de efectivo pueda estar deteriorados, en cuyo caso se procede a estimar su importe recuperable efectuando las correspondientes correcciones </w:t>
      </w:r>
      <w:r>
        <w:rPr>
          <w:spacing w:val="-2"/>
        </w:rPr>
        <w:t>valorativas.</w:t>
      </w:r>
    </w:p>
    <w:p>
      <w:pPr>
        <w:pStyle w:val="BodyText"/>
        <w:spacing w:line="247" w:lineRule="auto" w:before="257"/>
        <w:ind w:left="1278" w:right="849"/>
        <w:jc w:val="both"/>
      </w:pPr>
      <w:r>
        <w:rPr/>
        <w:t>Los cálculos del deterioro de los elementos del inmovilizado material se efectúan de forma individualizada.</w:t>
      </w:r>
      <w:r>
        <w:rPr>
          <w:spacing w:val="-8"/>
        </w:rPr>
        <w:t> </w:t>
      </w:r>
      <w:r>
        <w:rPr/>
        <w:t>No</w:t>
      </w:r>
      <w:r>
        <w:rPr>
          <w:spacing w:val="-8"/>
        </w:rPr>
        <w:t> </w:t>
      </w:r>
      <w:r>
        <w:rPr/>
        <w:t>obstante,</w:t>
      </w:r>
      <w:r>
        <w:rPr>
          <w:spacing w:val="-8"/>
        </w:rPr>
        <w:t> </w:t>
      </w:r>
      <w:r>
        <w:rPr/>
        <w:t>cuando</w:t>
      </w:r>
      <w:r>
        <w:rPr>
          <w:spacing w:val="-8"/>
        </w:rPr>
        <w:t> </w:t>
      </w:r>
      <w:r>
        <w:rPr/>
        <w:t>no</w:t>
      </w:r>
      <w:r>
        <w:rPr>
          <w:spacing w:val="-8"/>
        </w:rPr>
        <w:t> </w:t>
      </w:r>
      <w:r>
        <w:rPr/>
        <w:t>es</w:t>
      </w:r>
      <w:r>
        <w:rPr>
          <w:spacing w:val="-9"/>
        </w:rPr>
        <w:t> </w:t>
      </w:r>
      <w:r>
        <w:rPr/>
        <w:t>posible</w:t>
      </w:r>
      <w:r>
        <w:rPr>
          <w:spacing w:val="-8"/>
        </w:rPr>
        <w:t> </w:t>
      </w:r>
      <w:r>
        <w:rPr/>
        <w:t>determinar</w:t>
      </w:r>
      <w:r>
        <w:rPr>
          <w:spacing w:val="-7"/>
        </w:rPr>
        <w:t> </w:t>
      </w:r>
      <w:r>
        <w:rPr/>
        <w:t>el</w:t>
      </w:r>
      <w:r>
        <w:rPr>
          <w:spacing w:val="-8"/>
        </w:rPr>
        <w:t> </w:t>
      </w:r>
      <w:r>
        <w:rPr/>
        <w:t>importe</w:t>
      </w:r>
      <w:r>
        <w:rPr>
          <w:spacing w:val="-8"/>
        </w:rPr>
        <w:t> </w:t>
      </w:r>
      <w:r>
        <w:rPr/>
        <w:t>recuperable</w:t>
      </w:r>
      <w:r>
        <w:rPr>
          <w:spacing w:val="-8"/>
        </w:rPr>
        <w:t> </w:t>
      </w:r>
      <w:r>
        <w:rPr/>
        <w:t>de</w:t>
      </w:r>
      <w:r>
        <w:rPr>
          <w:spacing w:val="-8"/>
        </w:rPr>
        <w:t> </w:t>
      </w:r>
      <w:r>
        <w:rPr/>
        <w:t>cada</w:t>
      </w:r>
      <w:r>
        <w:rPr>
          <w:spacing w:val="33"/>
        </w:rPr>
        <w:t> </w:t>
      </w:r>
      <w:r>
        <w:rPr/>
        <w:t>bien individual</w:t>
      </w:r>
      <w:r>
        <w:rPr>
          <w:spacing w:val="-2"/>
        </w:rPr>
        <w:t> </w:t>
      </w:r>
      <w:r>
        <w:rPr/>
        <w:t>se</w:t>
      </w:r>
      <w:r>
        <w:rPr>
          <w:spacing w:val="-3"/>
        </w:rPr>
        <w:t> </w:t>
      </w:r>
      <w:r>
        <w:rPr/>
        <w:t>procede</w:t>
      </w:r>
      <w:r>
        <w:rPr>
          <w:spacing w:val="-2"/>
        </w:rPr>
        <w:t> </w:t>
      </w:r>
      <w:r>
        <w:rPr/>
        <w:t>a</w:t>
      </w:r>
      <w:r>
        <w:rPr>
          <w:spacing w:val="-3"/>
        </w:rPr>
        <w:t> </w:t>
      </w:r>
      <w:r>
        <w:rPr/>
        <w:t>determinar</w:t>
      </w:r>
      <w:r>
        <w:rPr>
          <w:spacing w:val="-2"/>
        </w:rPr>
        <w:t> </w:t>
      </w:r>
      <w:r>
        <w:rPr/>
        <w:t>el</w:t>
      </w:r>
      <w:r>
        <w:rPr>
          <w:spacing w:val="-2"/>
        </w:rPr>
        <w:t> </w:t>
      </w:r>
      <w:r>
        <w:rPr/>
        <w:t>importe</w:t>
      </w:r>
      <w:r>
        <w:rPr>
          <w:spacing w:val="-2"/>
        </w:rPr>
        <w:t> </w:t>
      </w:r>
      <w:r>
        <w:rPr/>
        <w:t>recuperable</w:t>
      </w:r>
      <w:r>
        <w:rPr>
          <w:spacing w:val="-2"/>
        </w:rPr>
        <w:t> </w:t>
      </w:r>
      <w:r>
        <w:rPr/>
        <w:t>de</w:t>
      </w:r>
      <w:r>
        <w:rPr>
          <w:spacing w:val="-2"/>
        </w:rPr>
        <w:t> </w:t>
      </w:r>
      <w:r>
        <w:rPr/>
        <w:t>la</w:t>
      </w:r>
      <w:r>
        <w:rPr>
          <w:spacing w:val="-2"/>
        </w:rPr>
        <w:t> </w:t>
      </w:r>
      <w:r>
        <w:rPr/>
        <w:t>unidad</w:t>
      </w:r>
      <w:r>
        <w:rPr>
          <w:spacing w:val="-2"/>
        </w:rPr>
        <w:t> </w:t>
      </w:r>
      <w:r>
        <w:rPr/>
        <w:t>generadora</w:t>
      </w:r>
      <w:r>
        <w:rPr>
          <w:spacing w:val="-3"/>
        </w:rPr>
        <w:t> </w:t>
      </w:r>
      <w:r>
        <w:rPr/>
        <w:t>de</w:t>
      </w:r>
      <w:r>
        <w:rPr>
          <w:spacing w:val="-2"/>
        </w:rPr>
        <w:t> </w:t>
      </w:r>
      <w:r>
        <w:rPr/>
        <w:t>efectivo</w:t>
      </w:r>
      <w:r>
        <w:rPr>
          <w:spacing w:val="-2"/>
        </w:rPr>
        <w:t> </w:t>
      </w:r>
      <w:r>
        <w:rPr/>
        <w:t>a</w:t>
      </w:r>
      <w:r>
        <w:rPr>
          <w:spacing w:val="-3"/>
        </w:rPr>
        <w:t> </w:t>
      </w:r>
      <w:r>
        <w:rPr/>
        <w:t>la que pertenezca cada elemento del inmovilizado.</w:t>
      </w:r>
    </w:p>
    <w:p>
      <w:pPr>
        <w:pStyle w:val="BodyText"/>
        <w:spacing w:after="0" w:line="247" w:lineRule="auto"/>
        <w:jc w:val="both"/>
        <w:sectPr>
          <w:pgSz w:w="11910" w:h="16840"/>
          <w:pgMar w:header="694" w:footer="690" w:top="1920" w:bottom="880" w:left="708" w:right="425"/>
        </w:sectPr>
      </w:pPr>
    </w:p>
    <w:p>
      <w:pPr>
        <w:pStyle w:val="ListParagraph"/>
        <w:numPr>
          <w:ilvl w:val="0"/>
          <w:numId w:val="5"/>
        </w:numPr>
        <w:tabs>
          <w:tab w:pos="1276" w:val="left" w:leader="none"/>
        </w:tabs>
        <w:spacing w:line="240" w:lineRule="auto" w:before="186" w:after="0"/>
        <w:ind w:left="1276" w:right="0" w:hanging="281"/>
        <w:jc w:val="left"/>
        <w:rPr>
          <w:sz w:val="22"/>
        </w:rPr>
      </w:pPr>
      <w:r>
        <w:rPr>
          <w:sz w:val="22"/>
        </w:rPr>
        <w:t>Arrendamientos</w:t>
      </w:r>
      <w:r>
        <w:rPr>
          <w:spacing w:val="-14"/>
          <w:sz w:val="22"/>
        </w:rPr>
        <w:t> </w:t>
      </w:r>
      <w:r>
        <w:rPr>
          <w:sz w:val="22"/>
        </w:rPr>
        <w:t>y</w:t>
      </w:r>
      <w:r>
        <w:rPr>
          <w:spacing w:val="-12"/>
          <w:sz w:val="22"/>
        </w:rPr>
        <w:t> </w:t>
      </w:r>
      <w:r>
        <w:rPr>
          <w:sz w:val="22"/>
        </w:rPr>
        <w:t>otras</w:t>
      </w:r>
      <w:r>
        <w:rPr>
          <w:spacing w:val="-13"/>
          <w:sz w:val="22"/>
        </w:rPr>
        <w:t> </w:t>
      </w:r>
      <w:r>
        <w:rPr>
          <w:sz w:val="22"/>
        </w:rPr>
        <w:t>operaciones</w:t>
      </w:r>
      <w:r>
        <w:rPr>
          <w:spacing w:val="-11"/>
          <w:sz w:val="22"/>
        </w:rPr>
        <w:t> </w:t>
      </w:r>
      <w:r>
        <w:rPr>
          <w:sz w:val="22"/>
        </w:rPr>
        <w:t>de</w:t>
      </w:r>
      <w:r>
        <w:rPr>
          <w:spacing w:val="-13"/>
          <w:sz w:val="22"/>
        </w:rPr>
        <w:t> </w:t>
      </w:r>
      <w:r>
        <w:rPr>
          <w:sz w:val="22"/>
        </w:rPr>
        <w:t>naturaleza</w:t>
      </w:r>
      <w:r>
        <w:rPr>
          <w:spacing w:val="-12"/>
          <w:sz w:val="22"/>
        </w:rPr>
        <w:t> </w:t>
      </w:r>
      <w:r>
        <w:rPr>
          <w:spacing w:val="-2"/>
          <w:sz w:val="22"/>
        </w:rPr>
        <w:t>similar</w:t>
      </w:r>
    </w:p>
    <w:p>
      <w:pPr>
        <w:pStyle w:val="BodyText"/>
        <w:spacing w:before="15"/>
      </w:pPr>
    </w:p>
    <w:p>
      <w:pPr>
        <w:pStyle w:val="ListParagraph"/>
        <w:numPr>
          <w:ilvl w:val="1"/>
          <w:numId w:val="5"/>
        </w:numPr>
        <w:tabs>
          <w:tab w:pos="1685" w:val="left" w:leader="none"/>
        </w:tabs>
        <w:spacing w:line="240" w:lineRule="auto" w:before="1" w:after="0"/>
        <w:ind w:left="1685" w:right="0" w:hanging="407"/>
        <w:jc w:val="left"/>
        <w:rPr>
          <w:sz w:val="22"/>
        </w:rPr>
      </w:pPr>
      <w:r>
        <w:rPr>
          <w:spacing w:val="-2"/>
          <w:sz w:val="22"/>
        </w:rPr>
        <w:t>Arrendamiento</w:t>
      </w:r>
      <w:r>
        <w:rPr>
          <w:spacing w:val="4"/>
          <w:sz w:val="22"/>
        </w:rPr>
        <w:t> </w:t>
      </w:r>
      <w:r>
        <w:rPr>
          <w:spacing w:val="-2"/>
          <w:sz w:val="22"/>
        </w:rPr>
        <w:t>operativo</w:t>
      </w:r>
    </w:p>
    <w:p>
      <w:pPr>
        <w:pStyle w:val="BodyText"/>
        <w:spacing w:before="14"/>
      </w:pPr>
    </w:p>
    <w:p>
      <w:pPr>
        <w:pStyle w:val="BodyText"/>
        <w:spacing w:line="244" w:lineRule="auto"/>
        <w:ind w:left="1705" w:right="855"/>
        <w:jc w:val="both"/>
      </w:pPr>
      <w:r>
        <w:rPr/>
        <w:t>Los ingresos y gastos derivados de los acuerdos de arrendamiento operativo se contabilizan en la cuenta de pérdidas y ganancias en el ejercicio en que se devengan.</w:t>
      </w:r>
    </w:p>
    <w:p>
      <w:pPr>
        <w:pStyle w:val="BodyText"/>
        <w:spacing w:before="9"/>
      </w:pPr>
    </w:p>
    <w:p>
      <w:pPr>
        <w:pStyle w:val="BodyText"/>
        <w:spacing w:line="247" w:lineRule="auto"/>
        <w:ind w:left="1705" w:right="847"/>
        <w:jc w:val="both"/>
      </w:pPr>
      <w:r>
        <w:rPr/>
        <w:t>Asimismo,</w:t>
      </w:r>
      <w:r>
        <w:rPr>
          <w:spacing w:val="-6"/>
        </w:rPr>
        <w:t> </w:t>
      </w:r>
      <w:r>
        <w:rPr/>
        <w:t>el</w:t>
      </w:r>
      <w:r>
        <w:rPr>
          <w:spacing w:val="-6"/>
        </w:rPr>
        <w:t> </w:t>
      </w:r>
      <w:r>
        <w:rPr/>
        <w:t>coste</w:t>
      </w:r>
      <w:r>
        <w:rPr>
          <w:spacing w:val="-7"/>
        </w:rPr>
        <w:t> </w:t>
      </w:r>
      <w:r>
        <w:rPr/>
        <w:t>de</w:t>
      </w:r>
      <w:r>
        <w:rPr>
          <w:spacing w:val="-7"/>
        </w:rPr>
        <w:t> </w:t>
      </w:r>
      <w:r>
        <w:rPr/>
        <w:t>adquisición</w:t>
      </w:r>
      <w:r>
        <w:rPr>
          <w:spacing w:val="-6"/>
        </w:rPr>
        <w:t> </w:t>
      </w:r>
      <w:r>
        <w:rPr/>
        <w:t>del</w:t>
      </w:r>
      <w:r>
        <w:rPr>
          <w:spacing w:val="-6"/>
        </w:rPr>
        <w:t> </w:t>
      </w:r>
      <w:r>
        <w:rPr/>
        <w:t>bien</w:t>
      </w:r>
      <w:r>
        <w:rPr>
          <w:spacing w:val="-7"/>
        </w:rPr>
        <w:t> </w:t>
      </w:r>
      <w:r>
        <w:rPr/>
        <w:t>arrendado</w:t>
      </w:r>
      <w:r>
        <w:rPr>
          <w:spacing w:val="-6"/>
        </w:rPr>
        <w:t> </w:t>
      </w:r>
      <w:r>
        <w:rPr/>
        <w:t>se</w:t>
      </w:r>
      <w:r>
        <w:rPr>
          <w:spacing w:val="-7"/>
        </w:rPr>
        <w:t> </w:t>
      </w:r>
      <w:r>
        <w:rPr/>
        <w:t>presenta</w:t>
      </w:r>
      <w:r>
        <w:rPr>
          <w:spacing w:val="-6"/>
        </w:rPr>
        <w:t> </w:t>
      </w:r>
      <w:r>
        <w:rPr/>
        <w:t>en</w:t>
      </w:r>
      <w:r>
        <w:rPr>
          <w:spacing w:val="-7"/>
        </w:rPr>
        <w:t> </w:t>
      </w:r>
      <w:r>
        <w:rPr/>
        <w:t>el</w:t>
      </w:r>
      <w:r>
        <w:rPr>
          <w:spacing w:val="-7"/>
        </w:rPr>
        <w:t> </w:t>
      </w:r>
      <w:r>
        <w:rPr/>
        <w:t>balance</w:t>
      </w:r>
      <w:r>
        <w:rPr>
          <w:spacing w:val="-6"/>
        </w:rPr>
        <w:t> </w:t>
      </w:r>
      <w:r>
        <w:rPr/>
        <w:t>conforme</w:t>
      </w:r>
      <w:r>
        <w:rPr>
          <w:spacing w:val="-8"/>
        </w:rPr>
        <w:t> </w:t>
      </w:r>
      <w:r>
        <w:rPr/>
        <w:t>a</w:t>
      </w:r>
      <w:r>
        <w:rPr>
          <w:spacing w:val="33"/>
        </w:rPr>
        <w:t> </w:t>
      </w:r>
      <w:r>
        <w:rPr/>
        <w:t>su naturaleza, incrementado por el importe de los costes del contrato directamente imputables, los cuales se reconocen como gasto en el plazo del contrato, aplicando el mismo criterio utilizado para el reconocimiento de los ingresos del arrendamiento.</w:t>
      </w:r>
    </w:p>
    <w:p>
      <w:pPr>
        <w:pStyle w:val="BodyText"/>
        <w:spacing w:before="3"/>
      </w:pPr>
    </w:p>
    <w:p>
      <w:pPr>
        <w:pStyle w:val="BodyText"/>
        <w:spacing w:line="247" w:lineRule="auto"/>
        <w:ind w:left="1705" w:right="847"/>
        <w:jc w:val="both"/>
      </w:pPr>
      <w:r>
        <w:rPr/>
        <w:t>Los</w:t>
      </w:r>
      <w:r>
        <w:rPr>
          <w:spacing w:val="-1"/>
        </w:rPr>
        <w:t> </w:t>
      </w:r>
      <w:r>
        <w:rPr/>
        <w:t>gastos</w:t>
      </w:r>
      <w:r>
        <w:rPr>
          <w:spacing w:val="-3"/>
        </w:rPr>
        <w:t> </w:t>
      </w:r>
      <w:r>
        <w:rPr/>
        <w:t>derivados</w:t>
      </w:r>
      <w:r>
        <w:rPr>
          <w:spacing w:val="-3"/>
        </w:rPr>
        <w:t> </w:t>
      </w:r>
      <w:r>
        <w:rPr/>
        <w:t>de</w:t>
      </w:r>
      <w:r>
        <w:rPr>
          <w:spacing w:val="-4"/>
        </w:rPr>
        <w:t> </w:t>
      </w:r>
      <w:r>
        <w:rPr/>
        <w:t>los</w:t>
      </w:r>
      <w:r>
        <w:rPr>
          <w:spacing w:val="-2"/>
        </w:rPr>
        <w:t> </w:t>
      </w:r>
      <w:r>
        <w:rPr/>
        <w:t>acuerdos de</w:t>
      </w:r>
      <w:r>
        <w:rPr>
          <w:spacing w:val="-1"/>
        </w:rPr>
        <w:t> </w:t>
      </w:r>
      <w:r>
        <w:rPr/>
        <w:t>arrendamiento</w:t>
      </w:r>
      <w:r>
        <w:rPr>
          <w:spacing w:val="-2"/>
        </w:rPr>
        <w:t> </w:t>
      </w:r>
      <w:r>
        <w:rPr/>
        <w:t>operativo</w:t>
      </w:r>
      <w:r>
        <w:rPr>
          <w:spacing w:val="-3"/>
        </w:rPr>
        <w:t> </w:t>
      </w:r>
      <w:r>
        <w:rPr/>
        <w:t>se</w:t>
      </w:r>
      <w:r>
        <w:rPr>
          <w:spacing w:val="-1"/>
        </w:rPr>
        <w:t> </w:t>
      </w:r>
      <w:r>
        <w:rPr/>
        <w:t>contabilizan</w:t>
      </w:r>
      <w:r>
        <w:rPr>
          <w:spacing w:val="-2"/>
        </w:rPr>
        <w:t> </w:t>
      </w:r>
      <w:r>
        <w:rPr/>
        <w:t>en la</w:t>
      </w:r>
      <w:r>
        <w:rPr>
          <w:spacing w:val="-1"/>
        </w:rPr>
        <w:t> </w:t>
      </w:r>
      <w:r>
        <w:rPr/>
        <w:t>cuenta de pérdidas y ganancias en el ejercicio en que se devengan.</w:t>
      </w:r>
    </w:p>
    <w:p>
      <w:pPr>
        <w:pStyle w:val="BodyText"/>
        <w:spacing w:before="5"/>
      </w:pPr>
    </w:p>
    <w:p>
      <w:pPr>
        <w:pStyle w:val="ListParagraph"/>
        <w:numPr>
          <w:ilvl w:val="0"/>
          <w:numId w:val="5"/>
        </w:numPr>
        <w:tabs>
          <w:tab w:pos="1276" w:val="left" w:leader="none"/>
        </w:tabs>
        <w:spacing w:line="240" w:lineRule="auto" w:before="0" w:after="0"/>
        <w:ind w:left="1276" w:right="0" w:hanging="281"/>
        <w:jc w:val="left"/>
        <w:rPr>
          <w:sz w:val="22"/>
        </w:rPr>
      </w:pPr>
      <w:r>
        <w:rPr>
          <w:spacing w:val="-2"/>
          <w:sz w:val="22"/>
        </w:rPr>
        <w:t>Instrumentos</w:t>
      </w:r>
      <w:r>
        <w:rPr>
          <w:spacing w:val="4"/>
          <w:sz w:val="22"/>
        </w:rPr>
        <w:t> </w:t>
      </w:r>
      <w:r>
        <w:rPr>
          <w:spacing w:val="-2"/>
          <w:sz w:val="22"/>
        </w:rPr>
        <w:t>financieros</w:t>
      </w:r>
    </w:p>
    <w:p>
      <w:pPr>
        <w:pStyle w:val="BodyText"/>
        <w:spacing w:before="16"/>
      </w:pPr>
    </w:p>
    <w:p>
      <w:pPr>
        <w:pStyle w:val="BodyText"/>
        <w:spacing w:line="247" w:lineRule="auto"/>
        <w:ind w:left="1278" w:right="848"/>
        <w:jc w:val="both"/>
      </w:pPr>
      <w:r>
        <w:rPr/>
        <w:t>La Sociedad, en el momento del reconocimiento inicial, clasifica los instrumentos financieros (Norma de registro y valoración 9º) como un activo financiero, un pasivo financiero o un instrumento</w:t>
      </w:r>
      <w:r>
        <w:rPr>
          <w:spacing w:val="-3"/>
        </w:rPr>
        <w:t> </w:t>
      </w:r>
      <w:r>
        <w:rPr/>
        <w:t>de</w:t>
      </w:r>
      <w:r>
        <w:rPr>
          <w:spacing w:val="-4"/>
        </w:rPr>
        <w:t> </w:t>
      </w:r>
      <w:r>
        <w:rPr/>
        <w:t>patrimonio,</w:t>
      </w:r>
      <w:r>
        <w:rPr>
          <w:spacing w:val="-4"/>
        </w:rPr>
        <w:t> </w:t>
      </w:r>
      <w:r>
        <w:rPr/>
        <w:t>en</w:t>
      </w:r>
      <w:r>
        <w:rPr>
          <w:spacing w:val="-3"/>
        </w:rPr>
        <w:t> </w:t>
      </w:r>
      <w:r>
        <w:rPr/>
        <w:t>función</w:t>
      </w:r>
      <w:r>
        <w:rPr>
          <w:spacing w:val="-3"/>
        </w:rPr>
        <w:t> </w:t>
      </w:r>
      <w:r>
        <w:rPr/>
        <w:t>del</w:t>
      </w:r>
      <w:r>
        <w:rPr>
          <w:spacing w:val="-4"/>
        </w:rPr>
        <w:t> </w:t>
      </w:r>
      <w:r>
        <w:rPr/>
        <w:t>fondo</w:t>
      </w:r>
      <w:r>
        <w:rPr>
          <w:spacing w:val="-3"/>
        </w:rPr>
        <w:t> </w:t>
      </w:r>
      <w:r>
        <w:rPr/>
        <w:t>económico</w:t>
      </w:r>
      <w:r>
        <w:rPr>
          <w:spacing w:val="-4"/>
        </w:rPr>
        <w:t> </w:t>
      </w:r>
      <w:r>
        <w:rPr/>
        <w:t>de</w:t>
      </w:r>
      <w:r>
        <w:rPr>
          <w:spacing w:val="-4"/>
        </w:rPr>
        <w:t> </w:t>
      </w:r>
      <w:r>
        <w:rPr/>
        <w:t>la</w:t>
      </w:r>
      <w:r>
        <w:rPr>
          <w:spacing w:val="-4"/>
        </w:rPr>
        <w:t> </w:t>
      </w:r>
      <w:r>
        <w:rPr/>
        <w:t>transacción,</w:t>
      </w:r>
      <w:r>
        <w:rPr>
          <w:spacing w:val="-3"/>
        </w:rPr>
        <w:t> </w:t>
      </w:r>
      <w:r>
        <w:rPr/>
        <w:t>y</w:t>
      </w:r>
      <w:r>
        <w:rPr>
          <w:spacing w:val="-3"/>
        </w:rPr>
        <w:t> </w:t>
      </w:r>
      <w:r>
        <w:rPr/>
        <w:t>teniendo</w:t>
      </w:r>
      <w:r>
        <w:rPr>
          <w:spacing w:val="-3"/>
        </w:rPr>
        <w:t> </w:t>
      </w:r>
      <w:r>
        <w:rPr/>
        <w:t>presente las definiciones de activo financiero, pasivo financiero e instrumento de</w:t>
      </w:r>
      <w:r>
        <w:rPr>
          <w:spacing w:val="-1"/>
        </w:rPr>
        <w:t> </w:t>
      </w:r>
      <w:r>
        <w:rPr/>
        <w:t>patrimonio, del</w:t>
      </w:r>
      <w:r>
        <w:rPr>
          <w:spacing w:val="-1"/>
        </w:rPr>
        <w:t> </w:t>
      </w:r>
      <w:r>
        <w:rPr/>
        <w:t>marco de información financiero que le resulta de aplicación, el cual ha sido descrito en la nota 2.a.</w:t>
      </w:r>
    </w:p>
    <w:p>
      <w:pPr>
        <w:pStyle w:val="BodyText"/>
        <w:spacing w:before="4"/>
      </w:pPr>
    </w:p>
    <w:p>
      <w:pPr>
        <w:pStyle w:val="BodyText"/>
        <w:spacing w:line="247" w:lineRule="auto"/>
        <w:ind w:left="1277" w:right="855"/>
        <w:jc w:val="both"/>
      </w:pPr>
      <w:r>
        <w:rPr/>
        <w:t>El reconocimiento de un instrumento financiero se produce en el momento en el que la Sociedad se convierte en parte obligada del mismo, bien como adquirente, como tenedora o como emisora de este.</w:t>
      </w:r>
    </w:p>
    <w:p>
      <w:pPr>
        <w:pStyle w:val="BodyText"/>
        <w:spacing w:before="2"/>
      </w:pPr>
    </w:p>
    <w:p>
      <w:pPr>
        <w:pStyle w:val="ListParagraph"/>
        <w:numPr>
          <w:ilvl w:val="1"/>
          <w:numId w:val="5"/>
        </w:numPr>
        <w:tabs>
          <w:tab w:pos="1674" w:val="left" w:leader="none"/>
        </w:tabs>
        <w:spacing w:line="240" w:lineRule="auto" w:before="1" w:after="0"/>
        <w:ind w:left="1674" w:right="0" w:hanging="396"/>
        <w:jc w:val="left"/>
        <w:rPr>
          <w:sz w:val="22"/>
        </w:rPr>
      </w:pPr>
      <w:r>
        <w:rPr>
          <w:sz w:val="22"/>
        </w:rPr>
        <w:t>Activos</w:t>
      </w:r>
      <w:r>
        <w:rPr>
          <w:spacing w:val="-11"/>
          <w:sz w:val="22"/>
        </w:rPr>
        <w:t> </w:t>
      </w:r>
      <w:r>
        <w:rPr>
          <w:spacing w:val="-2"/>
          <w:sz w:val="22"/>
        </w:rPr>
        <w:t>financieros</w:t>
      </w:r>
    </w:p>
    <w:p>
      <w:pPr>
        <w:pStyle w:val="BodyText"/>
        <w:spacing w:before="15"/>
      </w:pPr>
    </w:p>
    <w:p>
      <w:pPr>
        <w:pStyle w:val="BodyText"/>
        <w:spacing w:line="244" w:lineRule="auto" w:before="1"/>
        <w:ind w:left="1705" w:right="850"/>
        <w:jc w:val="both"/>
      </w:pPr>
      <w:r>
        <w:rPr/>
        <w:t>La Sociedad clasifica sus activos financieros en función del modelo de negocio que aplica a los mismos y de las características de los flujos de efectivo del instrumento.</w:t>
      </w:r>
    </w:p>
    <w:p>
      <w:pPr>
        <w:pStyle w:val="BodyText"/>
        <w:spacing w:before="7"/>
      </w:pPr>
    </w:p>
    <w:p>
      <w:pPr>
        <w:pStyle w:val="BodyText"/>
        <w:spacing w:line="247" w:lineRule="auto"/>
        <w:ind w:left="1705" w:right="844"/>
        <w:jc w:val="both"/>
      </w:pPr>
      <w:r>
        <w:rPr/>
        <w:t>El modelo de negocio es determinado por la Dirección de la Sociedad y este refleja la forma en que gestionan conjuntamente cada grupo de activos financieros para alcanzar un objetivo de negocio concreto. El modelo de negocio que la Sociedad aplica a cada grupo de activos financieros es la forma en que esta gestiona los mismos con el objetivo de obtener flujos de </w:t>
      </w:r>
      <w:r>
        <w:rPr>
          <w:spacing w:val="-2"/>
        </w:rPr>
        <w:t>efectivo.</w:t>
      </w:r>
    </w:p>
    <w:p>
      <w:pPr>
        <w:pStyle w:val="BodyText"/>
        <w:spacing w:before="3"/>
      </w:pPr>
    </w:p>
    <w:p>
      <w:pPr>
        <w:pStyle w:val="BodyText"/>
        <w:spacing w:line="247" w:lineRule="auto"/>
        <w:ind w:left="1705" w:right="850"/>
        <w:jc w:val="both"/>
      </w:pPr>
      <w:r>
        <w:rPr/>
        <w:t>La Sociedad a la hora de categorizar los activos también tiene presente las características de los flujos de efectivo que estos devengan. En concreto, distingue entre aquellos activos financieros cuyas condiciones contractuales dan lugar, en fechas especificadas, a flujos de efectivo que son cobros de principal e intereses sobre el importe del principal pendiente (de ahora en adelante, activos que cumplen con el criterio de UPPI), del resto de activos financieros (de ahora en adelante, activos que no cumplen con el criterio de UPPI).</w:t>
      </w:r>
    </w:p>
    <w:p>
      <w:pPr>
        <w:pStyle w:val="BodyText"/>
        <w:spacing w:before="2"/>
      </w:pPr>
    </w:p>
    <w:p>
      <w:pPr>
        <w:pStyle w:val="BodyText"/>
        <w:ind w:left="1705"/>
        <w:jc w:val="both"/>
      </w:pPr>
      <w:r>
        <w:rPr/>
        <w:t>En</w:t>
      </w:r>
      <w:r>
        <w:rPr>
          <w:spacing w:val="-11"/>
        </w:rPr>
        <w:t> </w:t>
      </w:r>
      <w:r>
        <w:rPr/>
        <w:t>concreto,</w:t>
      </w:r>
      <w:r>
        <w:rPr>
          <w:spacing w:val="-10"/>
        </w:rPr>
        <w:t> </w:t>
      </w:r>
      <w:r>
        <w:rPr/>
        <w:t>los</w:t>
      </w:r>
      <w:r>
        <w:rPr>
          <w:spacing w:val="-10"/>
        </w:rPr>
        <w:t> </w:t>
      </w:r>
      <w:r>
        <w:rPr/>
        <w:t>activos</w:t>
      </w:r>
      <w:r>
        <w:rPr>
          <w:spacing w:val="-11"/>
        </w:rPr>
        <w:t> </w:t>
      </w:r>
      <w:r>
        <w:rPr/>
        <w:t>financieros</w:t>
      </w:r>
      <w:r>
        <w:rPr>
          <w:spacing w:val="-10"/>
        </w:rPr>
        <w:t> </w:t>
      </w:r>
      <w:r>
        <w:rPr/>
        <w:t>de</w:t>
      </w:r>
      <w:r>
        <w:rPr>
          <w:spacing w:val="-11"/>
        </w:rPr>
        <w:t> </w:t>
      </w:r>
      <w:r>
        <w:rPr/>
        <w:t>la</w:t>
      </w:r>
      <w:r>
        <w:rPr>
          <w:spacing w:val="-10"/>
        </w:rPr>
        <w:t> </w:t>
      </w:r>
      <w:r>
        <w:rPr/>
        <w:t>Sociedad</w:t>
      </w:r>
      <w:r>
        <w:rPr>
          <w:spacing w:val="-10"/>
        </w:rPr>
        <w:t> </w:t>
      </w:r>
      <w:r>
        <w:rPr/>
        <w:t>se</w:t>
      </w:r>
      <w:r>
        <w:rPr>
          <w:spacing w:val="-11"/>
        </w:rPr>
        <w:t> </w:t>
      </w:r>
      <w:r>
        <w:rPr/>
        <w:t>clasifican</w:t>
      </w:r>
      <w:r>
        <w:rPr>
          <w:spacing w:val="-10"/>
        </w:rPr>
        <w:t> </w:t>
      </w:r>
      <w:r>
        <w:rPr/>
        <w:t>en</w:t>
      </w:r>
      <w:r>
        <w:rPr>
          <w:spacing w:val="-12"/>
        </w:rPr>
        <w:t> </w:t>
      </w:r>
      <w:r>
        <w:rPr/>
        <w:t>las</w:t>
      </w:r>
      <w:r>
        <w:rPr>
          <w:spacing w:val="-11"/>
        </w:rPr>
        <w:t> </w:t>
      </w:r>
      <w:r>
        <w:rPr/>
        <w:t>siguientes</w:t>
      </w:r>
      <w:r>
        <w:rPr>
          <w:spacing w:val="-9"/>
        </w:rPr>
        <w:t> </w:t>
      </w:r>
      <w:r>
        <w:rPr>
          <w:spacing w:val="-2"/>
        </w:rPr>
        <w:t>categorías:</w:t>
      </w:r>
    </w:p>
    <w:p>
      <w:pPr>
        <w:pStyle w:val="BodyText"/>
        <w:spacing w:before="15"/>
      </w:pPr>
    </w:p>
    <w:p>
      <w:pPr>
        <w:pStyle w:val="ListParagraph"/>
        <w:numPr>
          <w:ilvl w:val="2"/>
          <w:numId w:val="5"/>
        </w:numPr>
        <w:tabs>
          <w:tab w:pos="2265" w:val="left" w:leader="none"/>
        </w:tabs>
        <w:spacing w:line="240" w:lineRule="auto" w:before="0" w:after="0"/>
        <w:ind w:left="2265" w:right="0" w:hanging="562"/>
        <w:jc w:val="left"/>
        <w:rPr>
          <w:sz w:val="22"/>
        </w:rPr>
      </w:pPr>
      <w:r>
        <w:rPr>
          <w:sz w:val="22"/>
        </w:rPr>
        <w:t>Activos</w:t>
      </w:r>
      <w:r>
        <w:rPr>
          <w:spacing w:val="-12"/>
          <w:sz w:val="22"/>
        </w:rPr>
        <w:t> </w:t>
      </w:r>
      <w:r>
        <w:rPr>
          <w:sz w:val="22"/>
        </w:rPr>
        <w:t>financieros</w:t>
      </w:r>
      <w:r>
        <w:rPr>
          <w:spacing w:val="-10"/>
          <w:sz w:val="22"/>
        </w:rPr>
        <w:t> </w:t>
      </w:r>
      <w:r>
        <w:rPr>
          <w:sz w:val="22"/>
        </w:rPr>
        <w:t>a</w:t>
      </w:r>
      <w:r>
        <w:rPr>
          <w:spacing w:val="-11"/>
          <w:sz w:val="22"/>
        </w:rPr>
        <w:t> </w:t>
      </w:r>
      <w:r>
        <w:rPr>
          <w:sz w:val="22"/>
        </w:rPr>
        <w:t>coste</w:t>
      </w:r>
      <w:r>
        <w:rPr>
          <w:spacing w:val="-12"/>
          <w:sz w:val="22"/>
        </w:rPr>
        <w:t> </w:t>
      </w:r>
      <w:r>
        <w:rPr>
          <w:spacing w:val="-2"/>
          <w:sz w:val="22"/>
        </w:rPr>
        <w:t>amortizado</w:t>
      </w:r>
    </w:p>
    <w:p>
      <w:pPr>
        <w:pStyle w:val="BodyText"/>
        <w:spacing w:before="12"/>
      </w:pPr>
    </w:p>
    <w:p>
      <w:pPr>
        <w:pStyle w:val="BodyText"/>
        <w:spacing w:line="247" w:lineRule="auto"/>
        <w:ind w:left="2270" w:right="794"/>
      </w:pPr>
      <w:r>
        <w:rPr/>
        <w:t>Se</w:t>
      </w:r>
      <w:r>
        <w:rPr>
          <w:spacing w:val="25"/>
        </w:rPr>
        <w:t> </w:t>
      </w:r>
      <w:r>
        <w:rPr/>
        <w:t>corresponden</w:t>
      </w:r>
      <w:r>
        <w:rPr>
          <w:spacing w:val="26"/>
        </w:rPr>
        <w:t> </w:t>
      </w:r>
      <w:r>
        <w:rPr/>
        <w:t>con</w:t>
      </w:r>
      <w:r>
        <w:rPr>
          <w:spacing w:val="25"/>
        </w:rPr>
        <w:t> </w:t>
      </w:r>
      <w:r>
        <w:rPr/>
        <w:t>activos</w:t>
      </w:r>
      <w:r>
        <w:rPr>
          <w:spacing w:val="25"/>
        </w:rPr>
        <w:t> </w:t>
      </w:r>
      <w:r>
        <w:rPr/>
        <w:t>financieros</w:t>
      </w:r>
      <w:r>
        <w:rPr>
          <w:spacing w:val="26"/>
        </w:rPr>
        <w:t> </w:t>
      </w:r>
      <w:r>
        <w:rPr/>
        <w:t>a</w:t>
      </w:r>
      <w:r>
        <w:rPr>
          <w:spacing w:val="25"/>
        </w:rPr>
        <w:t> </w:t>
      </w:r>
      <w:r>
        <w:rPr/>
        <w:t>los</w:t>
      </w:r>
      <w:r>
        <w:rPr>
          <w:spacing w:val="24"/>
        </w:rPr>
        <w:t> </w:t>
      </w:r>
      <w:r>
        <w:rPr/>
        <w:t>que</w:t>
      </w:r>
      <w:r>
        <w:rPr>
          <w:spacing w:val="24"/>
        </w:rPr>
        <w:t> </w:t>
      </w:r>
      <w:r>
        <w:rPr/>
        <w:t>la</w:t>
      </w:r>
      <w:r>
        <w:rPr>
          <w:spacing w:val="25"/>
        </w:rPr>
        <w:t> </w:t>
      </w:r>
      <w:r>
        <w:rPr/>
        <w:t>Sociedad</w:t>
      </w:r>
      <w:r>
        <w:rPr>
          <w:spacing w:val="25"/>
        </w:rPr>
        <w:t> </w:t>
      </w:r>
      <w:r>
        <w:rPr/>
        <w:t>aplica</w:t>
      </w:r>
      <w:r>
        <w:rPr>
          <w:spacing w:val="25"/>
        </w:rPr>
        <w:t> </w:t>
      </w:r>
      <w:r>
        <w:rPr/>
        <w:t>un</w:t>
      </w:r>
      <w:r>
        <w:rPr>
          <w:spacing w:val="26"/>
        </w:rPr>
        <w:t> </w:t>
      </w:r>
      <w:r>
        <w:rPr/>
        <w:t>modelo</w:t>
      </w:r>
      <w:r>
        <w:rPr>
          <w:spacing w:val="26"/>
        </w:rPr>
        <w:t> </w:t>
      </w:r>
      <w:r>
        <w:rPr/>
        <w:t>de negocio</w:t>
      </w:r>
      <w:r>
        <w:rPr>
          <w:spacing w:val="-9"/>
        </w:rPr>
        <w:t> </w:t>
      </w:r>
      <w:r>
        <w:rPr/>
        <w:t>que</w:t>
      </w:r>
      <w:r>
        <w:rPr>
          <w:spacing w:val="-10"/>
        </w:rPr>
        <w:t> </w:t>
      </w:r>
      <w:r>
        <w:rPr/>
        <w:t>tiene</w:t>
      </w:r>
      <w:r>
        <w:rPr>
          <w:spacing w:val="-9"/>
        </w:rPr>
        <w:t> </w:t>
      </w:r>
      <w:r>
        <w:rPr/>
        <w:t>el</w:t>
      </w:r>
      <w:r>
        <w:rPr>
          <w:spacing w:val="-10"/>
        </w:rPr>
        <w:t> </w:t>
      </w:r>
      <w:r>
        <w:rPr/>
        <w:t>objetivo</w:t>
      </w:r>
      <w:r>
        <w:rPr>
          <w:spacing w:val="-9"/>
        </w:rPr>
        <w:t> </w:t>
      </w:r>
      <w:r>
        <w:rPr/>
        <w:t>de</w:t>
      </w:r>
      <w:r>
        <w:rPr>
          <w:spacing w:val="-10"/>
        </w:rPr>
        <w:t> </w:t>
      </w:r>
      <w:r>
        <w:rPr/>
        <w:t>percibir</w:t>
      </w:r>
      <w:r>
        <w:rPr>
          <w:spacing w:val="-11"/>
        </w:rPr>
        <w:t> </w:t>
      </w:r>
      <w:r>
        <w:rPr/>
        <w:t>los</w:t>
      </w:r>
      <w:r>
        <w:rPr>
          <w:spacing w:val="-9"/>
        </w:rPr>
        <w:t> </w:t>
      </w:r>
      <w:r>
        <w:rPr/>
        <w:t>flujos</w:t>
      </w:r>
      <w:r>
        <w:rPr>
          <w:spacing w:val="-10"/>
        </w:rPr>
        <w:t> </w:t>
      </w:r>
      <w:r>
        <w:rPr/>
        <w:t>de</w:t>
      </w:r>
      <w:r>
        <w:rPr>
          <w:spacing w:val="-9"/>
        </w:rPr>
        <w:t> </w:t>
      </w:r>
      <w:r>
        <w:rPr/>
        <w:t>efectivo</w:t>
      </w:r>
      <w:r>
        <w:rPr>
          <w:spacing w:val="-10"/>
        </w:rPr>
        <w:t> </w:t>
      </w:r>
      <w:r>
        <w:rPr/>
        <w:t>derivados</w:t>
      </w:r>
      <w:r>
        <w:rPr>
          <w:spacing w:val="-9"/>
        </w:rPr>
        <w:t> </w:t>
      </w:r>
      <w:r>
        <w:rPr/>
        <w:t>de</w:t>
      </w:r>
      <w:r>
        <w:rPr>
          <w:spacing w:val="-10"/>
        </w:rPr>
        <w:t> </w:t>
      </w:r>
      <w:r>
        <w:rPr/>
        <w:t>la</w:t>
      </w:r>
      <w:r>
        <w:rPr>
          <w:spacing w:val="-10"/>
        </w:rPr>
        <w:t> </w:t>
      </w:r>
      <w:r>
        <w:rPr>
          <w:spacing w:val="-2"/>
        </w:rPr>
        <w:t>ejecución</w:t>
      </w:r>
    </w:p>
    <w:p>
      <w:pPr>
        <w:pStyle w:val="BodyText"/>
        <w:spacing w:after="0" w:line="247" w:lineRule="auto"/>
        <w:sectPr>
          <w:pgSz w:w="11910" w:h="16840"/>
          <w:pgMar w:header="694" w:footer="690" w:top="1920" w:bottom="880" w:left="708" w:right="425"/>
        </w:sectPr>
      </w:pPr>
    </w:p>
    <w:p>
      <w:pPr>
        <w:pStyle w:val="BodyText"/>
        <w:spacing w:line="247" w:lineRule="auto" w:before="187"/>
        <w:ind w:left="2270" w:right="847"/>
        <w:jc w:val="both"/>
      </w:pPr>
      <w:r>
        <w:rPr/>
        <w:t>del contrato, y las condiciones contractuales del activo financiero dan lugar, en fechas especificadas, a flujos de efectivo que son únicamente cobros de principal e intereses, sobre el importe del principal pendiente, aun cuando el activo esté admitido</w:t>
      </w:r>
      <w:r>
        <w:rPr>
          <w:spacing w:val="40"/>
        </w:rPr>
        <w:t> </w:t>
      </w:r>
      <w:r>
        <w:rPr/>
        <w:t>a negociación en un mercado organizado, por lo que son activos que cumplen con el criterio de UPPI (activos financieros cuyas condiciones contractuales dan lugar, en fechas especificadas, a flujos de efectivo que son cobros de principal e intereses sobre el importe del principal pendiente).</w:t>
      </w:r>
    </w:p>
    <w:p>
      <w:pPr>
        <w:pStyle w:val="BodyText"/>
        <w:spacing w:before="2"/>
      </w:pPr>
    </w:p>
    <w:p>
      <w:pPr>
        <w:pStyle w:val="BodyText"/>
        <w:spacing w:line="247" w:lineRule="auto"/>
        <w:ind w:left="2270" w:right="841"/>
        <w:jc w:val="both"/>
      </w:pPr>
      <w:r>
        <w:rPr/>
        <w:t>La Sociedad considera que los flujos de efectivo contractuales de un activo financiero son únicamente cobros de principal e interés sobre el importe del principal pendiente, cuando</w:t>
      </w:r>
      <w:r>
        <w:rPr>
          <w:spacing w:val="-4"/>
        </w:rPr>
        <w:t> </w:t>
      </w:r>
      <w:r>
        <w:rPr/>
        <w:t>estos</w:t>
      </w:r>
      <w:r>
        <w:rPr>
          <w:spacing w:val="-2"/>
        </w:rPr>
        <w:t> </w:t>
      </w:r>
      <w:r>
        <w:rPr/>
        <w:t>son</w:t>
      </w:r>
      <w:r>
        <w:rPr>
          <w:spacing w:val="-2"/>
        </w:rPr>
        <w:t> </w:t>
      </w:r>
      <w:r>
        <w:rPr/>
        <w:t>los</w:t>
      </w:r>
      <w:r>
        <w:rPr>
          <w:spacing w:val="-4"/>
        </w:rPr>
        <w:t> </w:t>
      </w:r>
      <w:r>
        <w:rPr/>
        <w:t>propios</w:t>
      </w:r>
      <w:r>
        <w:rPr>
          <w:spacing w:val="-1"/>
        </w:rPr>
        <w:t> </w:t>
      </w:r>
      <w:r>
        <w:rPr/>
        <w:t>de</w:t>
      </w:r>
      <w:r>
        <w:rPr>
          <w:spacing w:val="-2"/>
        </w:rPr>
        <w:t> </w:t>
      </w:r>
      <w:r>
        <w:rPr/>
        <w:t>un préstamo</w:t>
      </w:r>
      <w:r>
        <w:rPr>
          <w:spacing w:val="-2"/>
        </w:rPr>
        <w:t> </w:t>
      </w:r>
      <w:r>
        <w:rPr/>
        <w:t>ordinario</w:t>
      </w:r>
      <w:r>
        <w:rPr>
          <w:spacing w:val="-3"/>
        </w:rPr>
        <w:t> </w:t>
      </w:r>
      <w:r>
        <w:rPr/>
        <w:t>o</w:t>
      </w:r>
      <w:r>
        <w:rPr>
          <w:spacing w:val="-1"/>
        </w:rPr>
        <w:t> </w:t>
      </w:r>
      <w:r>
        <w:rPr/>
        <w:t>común,</w:t>
      </w:r>
      <w:r>
        <w:rPr>
          <w:spacing w:val="-1"/>
        </w:rPr>
        <w:t> </w:t>
      </w:r>
      <w:r>
        <w:rPr/>
        <w:t>sin</w:t>
      </w:r>
      <w:r>
        <w:rPr>
          <w:spacing w:val="-2"/>
        </w:rPr>
        <w:t> </w:t>
      </w:r>
      <w:r>
        <w:rPr/>
        <w:t>perjuicio</w:t>
      </w:r>
      <w:r>
        <w:rPr>
          <w:spacing w:val="-1"/>
        </w:rPr>
        <w:t> </w:t>
      </w:r>
      <w:r>
        <w:rPr/>
        <w:t>de</w:t>
      </w:r>
      <w:r>
        <w:rPr>
          <w:spacing w:val="-4"/>
        </w:rPr>
        <w:t> </w:t>
      </w:r>
      <w:r>
        <w:rPr/>
        <w:t>que</w:t>
      </w:r>
      <w:r>
        <w:rPr>
          <w:spacing w:val="-2"/>
        </w:rPr>
        <w:t> </w:t>
      </w:r>
      <w:r>
        <w:rPr/>
        <w:t>la operación se acuerde a un tipo de interés cero o por debajo de mercado. La Sociedad considera que no cumplen este criterio, y por lo tanto, no clasifica dentro de esta categoría, a activos financieros convertibles en instrumentos de patrimonio neto del emisor,</w:t>
      </w:r>
      <w:r>
        <w:rPr>
          <w:spacing w:val="-10"/>
        </w:rPr>
        <w:t> </w:t>
      </w:r>
      <w:r>
        <w:rPr/>
        <w:t>préstamos</w:t>
      </w:r>
      <w:r>
        <w:rPr>
          <w:spacing w:val="-11"/>
        </w:rPr>
        <w:t> </w:t>
      </w:r>
      <w:r>
        <w:rPr/>
        <w:t>con</w:t>
      </w:r>
      <w:r>
        <w:rPr>
          <w:spacing w:val="-10"/>
        </w:rPr>
        <w:t> </w:t>
      </w:r>
      <w:r>
        <w:rPr/>
        <w:t>tipos</w:t>
      </w:r>
      <w:r>
        <w:rPr>
          <w:spacing w:val="-10"/>
        </w:rPr>
        <w:t> </w:t>
      </w:r>
      <w:r>
        <w:rPr/>
        <w:t>de</w:t>
      </w:r>
      <w:r>
        <w:rPr>
          <w:spacing w:val="-10"/>
        </w:rPr>
        <w:t> </w:t>
      </w:r>
      <w:r>
        <w:rPr/>
        <w:t>interés</w:t>
      </w:r>
      <w:r>
        <w:rPr>
          <w:spacing w:val="-11"/>
        </w:rPr>
        <w:t> </w:t>
      </w:r>
      <w:r>
        <w:rPr/>
        <w:t>variables</w:t>
      </w:r>
      <w:r>
        <w:rPr>
          <w:spacing w:val="-10"/>
        </w:rPr>
        <w:t> </w:t>
      </w:r>
      <w:r>
        <w:rPr/>
        <w:t>inversos</w:t>
      </w:r>
      <w:r>
        <w:rPr>
          <w:spacing w:val="-11"/>
        </w:rPr>
        <w:t> </w:t>
      </w:r>
      <w:r>
        <w:rPr/>
        <w:t>(es</w:t>
      </w:r>
      <w:r>
        <w:rPr>
          <w:spacing w:val="-11"/>
        </w:rPr>
        <w:t> </w:t>
      </w:r>
      <w:r>
        <w:rPr/>
        <w:t>decir,</w:t>
      </w:r>
      <w:r>
        <w:rPr>
          <w:spacing w:val="-10"/>
        </w:rPr>
        <w:t> </w:t>
      </w:r>
      <w:r>
        <w:rPr/>
        <w:t>un</w:t>
      </w:r>
      <w:r>
        <w:rPr>
          <w:spacing w:val="-10"/>
        </w:rPr>
        <w:t> </w:t>
      </w:r>
      <w:r>
        <w:rPr/>
        <w:t>tipo</w:t>
      </w:r>
      <w:r>
        <w:rPr>
          <w:spacing w:val="-10"/>
        </w:rPr>
        <w:t> </w:t>
      </w:r>
      <w:r>
        <w:rPr/>
        <w:t>que</w:t>
      </w:r>
      <w:r>
        <w:rPr>
          <w:spacing w:val="-11"/>
        </w:rPr>
        <w:t> </w:t>
      </w:r>
      <w:r>
        <w:rPr/>
        <w:t>tiene</w:t>
      </w:r>
      <w:r>
        <w:rPr>
          <w:spacing w:val="-11"/>
        </w:rPr>
        <w:t> </w:t>
      </w:r>
      <w:r>
        <w:rPr/>
        <w:t>una relación inversa con los tipos de interés de mercado); o aquellos en los que el emisor puede diferir el pago de intereses si con dicho pago se viera afectada su solvencia, sin que los intereses diferidos devenguen intereses adicionales.</w:t>
      </w:r>
    </w:p>
    <w:p>
      <w:pPr>
        <w:pStyle w:val="BodyText"/>
        <w:spacing w:line="247" w:lineRule="auto"/>
        <w:ind w:left="2270" w:right="844"/>
        <w:jc w:val="both"/>
      </w:pPr>
      <w:r>
        <w:rPr/>
        <w:t>La</w:t>
      </w:r>
      <w:r>
        <w:rPr>
          <w:spacing w:val="-6"/>
        </w:rPr>
        <w:t> </w:t>
      </w:r>
      <w:r>
        <w:rPr/>
        <w:t>Sociedad</w:t>
      </w:r>
      <w:r>
        <w:rPr>
          <w:spacing w:val="-4"/>
        </w:rPr>
        <w:t> </w:t>
      </w:r>
      <w:r>
        <w:rPr/>
        <w:t>a</w:t>
      </w:r>
      <w:r>
        <w:rPr>
          <w:spacing w:val="-6"/>
        </w:rPr>
        <w:t> </w:t>
      </w:r>
      <w:r>
        <w:rPr/>
        <w:t>la</w:t>
      </w:r>
      <w:r>
        <w:rPr>
          <w:spacing w:val="-6"/>
        </w:rPr>
        <w:t> </w:t>
      </w:r>
      <w:r>
        <w:rPr/>
        <w:t>hora</w:t>
      </w:r>
      <w:r>
        <w:rPr>
          <w:spacing w:val="-6"/>
        </w:rPr>
        <w:t> </w:t>
      </w:r>
      <w:r>
        <w:rPr/>
        <w:t>de</w:t>
      </w:r>
      <w:r>
        <w:rPr>
          <w:spacing w:val="-6"/>
        </w:rPr>
        <w:t> </w:t>
      </w:r>
      <w:r>
        <w:rPr/>
        <w:t>evaluar</w:t>
      </w:r>
      <w:r>
        <w:rPr>
          <w:spacing w:val="-6"/>
        </w:rPr>
        <w:t> </w:t>
      </w:r>
      <w:r>
        <w:rPr/>
        <w:t>si</w:t>
      </w:r>
      <w:r>
        <w:rPr>
          <w:spacing w:val="-6"/>
        </w:rPr>
        <w:t> </w:t>
      </w:r>
      <w:r>
        <w:rPr/>
        <w:t>está</w:t>
      </w:r>
      <w:r>
        <w:rPr>
          <w:spacing w:val="-5"/>
        </w:rPr>
        <w:t> </w:t>
      </w:r>
      <w:r>
        <w:rPr/>
        <w:t>aplicando</w:t>
      </w:r>
      <w:r>
        <w:rPr>
          <w:spacing w:val="-5"/>
        </w:rPr>
        <w:t> </w:t>
      </w:r>
      <w:r>
        <w:rPr/>
        <w:t>el</w:t>
      </w:r>
      <w:r>
        <w:rPr>
          <w:spacing w:val="-6"/>
        </w:rPr>
        <w:t> </w:t>
      </w:r>
      <w:r>
        <w:rPr/>
        <w:t>modelo</w:t>
      </w:r>
      <w:r>
        <w:rPr>
          <w:spacing w:val="-5"/>
        </w:rPr>
        <w:t> </w:t>
      </w:r>
      <w:r>
        <w:rPr/>
        <w:t>de</w:t>
      </w:r>
      <w:r>
        <w:rPr>
          <w:spacing w:val="-6"/>
        </w:rPr>
        <w:t> </w:t>
      </w:r>
      <w:r>
        <w:rPr/>
        <w:t>negocio</w:t>
      </w:r>
      <w:r>
        <w:rPr>
          <w:spacing w:val="-5"/>
        </w:rPr>
        <w:t> </w:t>
      </w:r>
      <w:r>
        <w:rPr/>
        <w:t>de</w:t>
      </w:r>
      <w:r>
        <w:rPr>
          <w:spacing w:val="-6"/>
        </w:rPr>
        <w:t> </w:t>
      </w:r>
      <w:r>
        <w:rPr/>
        <w:t>cobro</w:t>
      </w:r>
      <w:r>
        <w:rPr>
          <w:spacing w:val="-5"/>
        </w:rPr>
        <w:t> </w:t>
      </w:r>
      <w:r>
        <w:rPr/>
        <w:t>de</w:t>
      </w:r>
      <w:r>
        <w:rPr>
          <w:spacing w:val="-6"/>
        </w:rPr>
        <w:t> </w:t>
      </w:r>
      <w:r>
        <w:rPr/>
        <w:t>los flujos</w:t>
      </w:r>
      <w:r>
        <w:rPr>
          <w:spacing w:val="-13"/>
        </w:rPr>
        <w:t> </w:t>
      </w:r>
      <w:r>
        <w:rPr/>
        <w:t>de</w:t>
      </w:r>
      <w:r>
        <w:rPr>
          <w:spacing w:val="-13"/>
        </w:rPr>
        <w:t> </w:t>
      </w:r>
      <w:r>
        <w:rPr/>
        <w:t>efectivo</w:t>
      </w:r>
      <w:r>
        <w:rPr>
          <w:spacing w:val="-12"/>
        </w:rPr>
        <w:t> </w:t>
      </w:r>
      <w:r>
        <w:rPr/>
        <w:t>contractuales</w:t>
      </w:r>
      <w:r>
        <w:rPr>
          <w:spacing w:val="-14"/>
        </w:rPr>
        <w:t> </w:t>
      </w:r>
      <w:r>
        <w:rPr/>
        <w:t>a</w:t>
      </w:r>
      <w:r>
        <w:rPr>
          <w:spacing w:val="-13"/>
        </w:rPr>
        <w:t> </w:t>
      </w:r>
      <w:r>
        <w:rPr/>
        <w:t>un</w:t>
      </w:r>
      <w:r>
        <w:rPr>
          <w:spacing w:val="-12"/>
        </w:rPr>
        <w:t> </w:t>
      </w:r>
      <w:r>
        <w:rPr/>
        <w:t>grupo</w:t>
      </w:r>
      <w:r>
        <w:rPr>
          <w:spacing w:val="-12"/>
        </w:rPr>
        <w:t> </w:t>
      </w:r>
      <w:r>
        <w:rPr/>
        <w:t>de</w:t>
      </w:r>
      <w:r>
        <w:rPr>
          <w:spacing w:val="-13"/>
        </w:rPr>
        <w:t> </w:t>
      </w:r>
      <w:r>
        <w:rPr/>
        <w:t>activos</w:t>
      </w:r>
      <w:r>
        <w:rPr>
          <w:spacing w:val="-13"/>
        </w:rPr>
        <w:t> </w:t>
      </w:r>
      <w:r>
        <w:rPr/>
        <w:t>financieros,</w:t>
      </w:r>
      <w:r>
        <w:rPr>
          <w:spacing w:val="-12"/>
        </w:rPr>
        <w:t> </w:t>
      </w:r>
      <w:r>
        <w:rPr/>
        <w:t>o</w:t>
      </w:r>
      <w:r>
        <w:rPr>
          <w:spacing w:val="-12"/>
        </w:rPr>
        <w:t> </w:t>
      </w:r>
      <w:r>
        <w:rPr/>
        <w:t>por</w:t>
      </w:r>
      <w:r>
        <w:rPr>
          <w:spacing w:val="-13"/>
        </w:rPr>
        <w:t> </w:t>
      </w:r>
      <w:r>
        <w:rPr/>
        <w:t>el</w:t>
      </w:r>
      <w:r>
        <w:rPr>
          <w:spacing w:val="-13"/>
        </w:rPr>
        <w:t> </w:t>
      </w:r>
      <w:r>
        <w:rPr/>
        <w:t>contrario,</w:t>
      </w:r>
      <w:r>
        <w:rPr>
          <w:spacing w:val="-13"/>
        </w:rPr>
        <w:t> </w:t>
      </w:r>
      <w:r>
        <w:rPr/>
        <w:t>está aplicando</w:t>
      </w:r>
      <w:r>
        <w:rPr>
          <w:spacing w:val="-3"/>
        </w:rPr>
        <w:t> </w:t>
      </w:r>
      <w:r>
        <w:rPr/>
        <w:t>otro</w:t>
      </w:r>
      <w:r>
        <w:rPr>
          <w:spacing w:val="-3"/>
        </w:rPr>
        <w:t> </w:t>
      </w:r>
      <w:r>
        <w:rPr/>
        <w:t>modelo</w:t>
      </w:r>
      <w:r>
        <w:rPr>
          <w:spacing w:val="-3"/>
        </w:rPr>
        <w:t> </w:t>
      </w:r>
      <w:r>
        <w:rPr/>
        <w:t>de</w:t>
      </w:r>
      <w:r>
        <w:rPr>
          <w:spacing w:val="-4"/>
        </w:rPr>
        <w:t> </w:t>
      </w:r>
      <w:r>
        <w:rPr/>
        <w:t>negocio,</w:t>
      </w:r>
      <w:r>
        <w:rPr>
          <w:spacing w:val="-3"/>
        </w:rPr>
        <w:t> </w:t>
      </w:r>
      <w:r>
        <w:rPr/>
        <w:t>tiene</w:t>
      </w:r>
      <w:r>
        <w:rPr>
          <w:spacing w:val="-4"/>
        </w:rPr>
        <w:t> </w:t>
      </w:r>
      <w:r>
        <w:rPr/>
        <w:t>en</w:t>
      </w:r>
      <w:r>
        <w:rPr>
          <w:spacing w:val="-4"/>
        </w:rPr>
        <w:t> </w:t>
      </w:r>
      <w:r>
        <w:rPr/>
        <w:t>consideración</w:t>
      </w:r>
      <w:r>
        <w:rPr>
          <w:spacing w:val="-3"/>
        </w:rPr>
        <w:t> </w:t>
      </w:r>
      <w:r>
        <w:rPr/>
        <w:t>el</w:t>
      </w:r>
      <w:r>
        <w:rPr>
          <w:spacing w:val="-4"/>
        </w:rPr>
        <w:t> </w:t>
      </w:r>
      <w:r>
        <w:rPr/>
        <w:t>calendario,</w:t>
      </w:r>
      <w:r>
        <w:rPr>
          <w:spacing w:val="-4"/>
        </w:rPr>
        <w:t> </w:t>
      </w:r>
      <w:r>
        <w:rPr/>
        <w:t>la frecuencia</w:t>
      </w:r>
      <w:r>
        <w:rPr>
          <w:spacing w:val="-4"/>
        </w:rPr>
        <w:t> </w:t>
      </w:r>
      <w:r>
        <w:rPr/>
        <w:t>y el</w:t>
      </w:r>
      <w:r>
        <w:rPr>
          <w:spacing w:val="-2"/>
        </w:rPr>
        <w:t> </w:t>
      </w:r>
      <w:r>
        <w:rPr/>
        <w:t>valor</w:t>
      </w:r>
      <w:r>
        <w:rPr>
          <w:spacing w:val="-2"/>
        </w:rPr>
        <w:t> </w:t>
      </w:r>
      <w:r>
        <w:rPr/>
        <w:t>de</w:t>
      </w:r>
      <w:r>
        <w:rPr>
          <w:spacing w:val="-2"/>
        </w:rPr>
        <w:t> </w:t>
      </w:r>
      <w:r>
        <w:rPr/>
        <w:t>las</w:t>
      </w:r>
      <w:r>
        <w:rPr>
          <w:spacing w:val="-3"/>
        </w:rPr>
        <w:t> </w:t>
      </w:r>
      <w:r>
        <w:rPr/>
        <w:t>ventas</w:t>
      </w:r>
      <w:r>
        <w:rPr>
          <w:spacing w:val="-3"/>
        </w:rPr>
        <w:t> </w:t>
      </w:r>
      <w:r>
        <w:rPr/>
        <w:t>que</w:t>
      </w:r>
      <w:r>
        <w:rPr>
          <w:spacing w:val="-3"/>
        </w:rPr>
        <w:t> </w:t>
      </w:r>
      <w:r>
        <w:rPr/>
        <w:t>se</w:t>
      </w:r>
      <w:r>
        <w:rPr>
          <w:spacing w:val="-3"/>
        </w:rPr>
        <w:t> </w:t>
      </w:r>
      <w:r>
        <w:rPr/>
        <w:t>están</w:t>
      </w:r>
      <w:r>
        <w:rPr>
          <w:spacing w:val="-2"/>
        </w:rPr>
        <w:t> </w:t>
      </w:r>
      <w:r>
        <w:rPr/>
        <w:t>produciendo</w:t>
      </w:r>
      <w:r>
        <w:rPr>
          <w:spacing w:val="-1"/>
        </w:rPr>
        <w:t> </w:t>
      </w:r>
      <w:r>
        <w:rPr/>
        <w:t>y</w:t>
      </w:r>
      <w:r>
        <w:rPr>
          <w:spacing w:val="-2"/>
        </w:rPr>
        <w:t> </w:t>
      </w:r>
      <w:r>
        <w:rPr/>
        <w:t>se</w:t>
      </w:r>
      <w:r>
        <w:rPr>
          <w:spacing w:val="-3"/>
        </w:rPr>
        <w:t> </w:t>
      </w:r>
      <w:r>
        <w:rPr/>
        <w:t>han</w:t>
      </w:r>
      <w:r>
        <w:rPr>
          <w:spacing w:val="-2"/>
        </w:rPr>
        <w:t> </w:t>
      </w:r>
      <w:r>
        <w:rPr/>
        <w:t>producido</w:t>
      </w:r>
      <w:r>
        <w:rPr>
          <w:spacing w:val="-3"/>
        </w:rPr>
        <w:t> </w:t>
      </w:r>
      <w:r>
        <w:rPr/>
        <w:t>en</w:t>
      </w:r>
      <w:r>
        <w:rPr>
          <w:spacing w:val="40"/>
        </w:rPr>
        <w:t> </w:t>
      </w:r>
      <w:r>
        <w:rPr/>
        <w:t>el</w:t>
      </w:r>
      <w:r>
        <w:rPr>
          <w:spacing w:val="-2"/>
        </w:rPr>
        <w:t> </w:t>
      </w:r>
      <w:r>
        <w:rPr/>
        <w:t>pasado</w:t>
      </w:r>
      <w:r>
        <w:rPr>
          <w:spacing w:val="-2"/>
        </w:rPr>
        <w:t> </w:t>
      </w:r>
      <w:r>
        <w:rPr/>
        <w:t>dentro de</w:t>
      </w:r>
      <w:r>
        <w:rPr>
          <w:spacing w:val="-1"/>
        </w:rPr>
        <w:t> </w:t>
      </w:r>
      <w:r>
        <w:rPr/>
        <w:t>este</w:t>
      </w:r>
      <w:r>
        <w:rPr>
          <w:spacing w:val="-2"/>
        </w:rPr>
        <w:t> </w:t>
      </w:r>
      <w:r>
        <w:rPr/>
        <w:t>grupo</w:t>
      </w:r>
      <w:r>
        <w:rPr>
          <w:spacing w:val="-2"/>
        </w:rPr>
        <w:t> </w:t>
      </w:r>
      <w:r>
        <w:rPr/>
        <w:t>de</w:t>
      </w:r>
      <w:r>
        <w:rPr>
          <w:spacing w:val="-1"/>
        </w:rPr>
        <w:t> </w:t>
      </w:r>
      <w:r>
        <w:rPr/>
        <w:t>activos</w:t>
      </w:r>
      <w:r>
        <w:rPr>
          <w:spacing w:val="-1"/>
        </w:rPr>
        <w:t> </w:t>
      </w:r>
      <w:r>
        <w:rPr/>
        <w:t>financieros.</w:t>
      </w:r>
      <w:r>
        <w:rPr>
          <w:spacing w:val="-1"/>
        </w:rPr>
        <w:t> </w:t>
      </w:r>
      <w:r>
        <w:rPr/>
        <w:t>Las</w:t>
      </w:r>
      <w:r>
        <w:rPr>
          <w:spacing w:val="-1"/>
        </w:rPr>
        <w:t> </w:t>
      </w:r>
      <w:r>
        <w:rPr/>
        <w:t>ventas</w:t>
      </w:r>
      <w:r>
        <w:rPr>
          <w:spacing w:val="-1"/>
        </w:rPr>
        <w:t> </w:t>
      </w:r>
      <w:r>
        <w:rPr/>
        <w:t>en</w:t>
      </w:r>
      <w:r>
        <w:rPr>
          <w:spacing w:val="-1"/>
        </w:rPr>
        <w:t> </w:t>
      </w:r>
      <w:r>
        <w:rPr/>
        <w:t>sí</w:t>
      </w:r>
      <w:r>
        <w:rPr>
          <w:spacing w:val="-1"/>
        </w:rPr>
        <w:t> </w:t>
      </w:r>
      <w:r>
        <w:rPr/>
        <w:t>mismas</w:t>
      </w:r>
      <w:r>
        <w:rPr>
          <w:spacing w:val="-1"/>
        </w:rPr>
        <w:t> </w:t>
      </w:r>
      <w:r>
        <w:rPr/>
        <w:t>no determinan</w:t>
      </w:r>
      <w:r>
        <w:rPr>
          <w:spacing w:val="-1"/>
        </w:rPr>
        <w:t> </w:t>
      </w:r>
      <w:r>
        <w:rPr/>
        <w:t>el modelo de</w:t>
      </w:r>
      <w:r>
        <w:rPr>
          <w:spacing w:val="-1"/>
        </w:rPr>
        <w:t> </w:t>
      </w:r>
      <w:r>
        <w:rPr/>
        <w:t>negocio y, por ello, no pueden considerarse de forma aislada. Por ello, la existencia de ventas puntuales, dentro de un mismo grupo de activos financieros, no determina el cambio de modelo de negocio para el resto de activos financieros incluidos dentro de ese grupo.</w:t>
      </w:r>
    </w:p>
    <w:p>
      <w:pPr>
        <w:pStyle w:val="BodyText"/>
        <w:spacing w:before="173"/>
      </w:pPr>
    </w:p>
    <w:p>
      <w:pPr>
        <w:pStyle w:val="BodyText"/>
        <w:spacing w:line="247" w:lineRule="auto"/>
        <w:ind w:left="2270" w:right="850"/>
        <w:jc w:val="both"/>
      </w:pPr>
      <w:r>
        <w:rPr/>
        <w:t>Para evaluar si dichas ventas determinan un cambio en el modelo de negocio, la Sociedad</w:t>
      </w:r>
      <w:r>
        <w:rPr>
          <w:spacing w:val="-12"/>
        </w:rPr>
        <w:t> </w:t>
      </w:r>
      <w:r>
        <w:rPr/>
        <w:t>tiene</w:t>
      </w:r>
      <w:r>
        <w:rPr>
          <w:spacing w:val="-12"/>
        </w:rPr>
        <w:t> </w:t>
      </w:r>
      <w:r>
        <w:rPr/>
        <w:t>presente</w:t>
      </w:r>
      <w:r>
        <w:rPr>
          <w:spacing w:val="-13"/>
        </w:rPr>
        <w:t> </w:t>
      </w:r>
      <w:r>
        <w:rPr/>
        <w:t>la</w:t>
      </w:r>
      <w:r>
        <w:rPr>
          <w:spacing w:val="-13"/>
        </w:rPr>
        <w:t> </w:t>
      </w:r>
      <w:r>
        <w:rPr/>
        <w:t>información</w:t>
      </w:r>
      <w:r>
        <w:rPr>
          <w:spacing w:val="-12"/>
        </w:rPr>
        <w:t> </w:t>
      </w:r>
      <w:r>
        <w:rPr/>
        <w:t>existente</w:t>
      </w:r>
      <w:r>
        <w:rPr>
          <w:spacing w:val="-13"/>
        </w:rPr>
        <w:t> </w:t>
      </w:r>
      <w:r>
        <w:rPr/>
        <w:t>sobre</w:t>
      </w:r>
      <w:r>
        <w:rPr>
          <w:spacing w:val="-13"/>
        </w:rPr>
        <w:t> </w:t>
      </w:r>
      <w:r>
        <w:rPr/>
        <w:t>ventas</w:t>
      </w:r>
      <w:r>
        <w:rPr>
          <w:spacing w:val="-13"/>
        </w:rPr>
        <w:t> </w:t>
      </w:r>
      <w:r>
        <w:rPr/>
        <w:t>pasadas</w:t>
      </w:r>
      <w:r>
        <w:rPr>
          <w:spacing w:val="-13"/>
        </w:rPr>
        <w:t> </w:t>
      </w:r>
      <w:r>
        <w:rPr/>
        <w:t>y</w:t>
      </w:r>
      <w:r>
        <w:rPr>
          <w:spacing w:val="-12"/>
        </w:rPr>
        <w:t> </w:t>
      </w:r>
      <w:r>
        <w:rPr/>
        <w:t>sobre</w:t>
      </w:r>
      <w:r>
        <w:rPr>
          <w:spacing w:val="-13"/>
        </w:rPr>
        <w:t> </w:t>
      </w:r>
      <w:r>
        <w:rPr/>
        <w:t>las</w:t>
      </w:r>
      <w:r>
        <w:rPr>
          <w:spacing w:val="-12"/>
        </w:rPr>
        <w:t> </w:t>
      </w:r>
      <w:r>
        <w:rPr/>
        <w:t>ventas futuras esperadas para un mismo grupo de activos financieros. La Sociedad también tiene presente las condiciones que existían en el momento en el que se produjeron las ventas</w:t>
      </w:r>
      <w:r>
        <w:rPr>
          <w:spacing w:val="-12"/>
        </w:rPr>
        <w:t> </w:t>
      </w:r>
      <w:r>
        <w:rPr/>
        <w:t>pasadas</w:t>
      </w:r>
      <w:r>
        <w:rPr>
          <w:spacing w:val="-12"/>
        </w:rPr>
        <w:t> </w:t>
      </w:r>
      <w:r>
        <w:rPr/>
        <w:t>y</w:t>
      </w:r>
      <w:r>
        <w:rPr>
          <w:spacing w:val="-11"/>
        </w:rPr>
        <w:t> </w:t>
      </w:r>
      <w:r>
        <w:rPr/>
        <w:t>las</w:t>
      </w:r>
      <w:r>
        <w:rPr>
          <w:spacing w:val="-12"/>
        </w:rPr>
        <w:t> </w:t>
      </w:r>
      <w:r>
        <w:rPr/>
        <w:t>condiciones</w:t>
      </w:r>
      <w:r>
        <w:rPr>
          <w:spacing w:val="-12"/>
        </w:rPr>
        <w:t> </w:t>
      </w:r>
      <w:r>
        <w:rPr/>
        <w:t>actuales,</w:t>
      </w:r>
      <w:r>
        <w:rPr>
          <w:spacing w:val="-11"/>
        </w:rPr>
        <w:t> </w:t>
      </w:r>
      <w:r>
        <w:rPr/>
        <w:t>a</w:t>
      </w:r>
      <w:r>
        <w:rPr>
          <w:spacing w:val="-12"/>
        </w:rPr>
        <w:t> </w:t>
      </w:r>
      <w:r>
        <w:rPr/>
        <w:t>la</w:t>
      </w:r>
      <w:r>
        <w:rPr>
          <w:spacing w:val="-12"/>
        </w:rPr>
        <w:t> </w:t>
      </w:r>
      <w:r>
        <w:rPr/>
        <w:t>hora</w:t>
      </w:r>
      <w:r>
        <w:rPr>
          <w:spacing w:val="-12"/>
        </w:rPr>
        <w:t> </w:t>
      </w:r>
      <w:r>
        <w:rPr/>
        <w:t>de</w:t>
      </w:r>
      <w:r>
        <w:rPr>
          <w:spacing w:val="-11"/>
        </w:rPr>
        <w:t> </w:t>
      </w:r>
      <w:r>
        <w:rPr/>
        <w:t>evaluar</w:t>
      </w:r>
      <w:r>
        <w:rPr>
          <w:spacing w:val="-12"/>
        </w:rPr>
        <w:t> </w:t>
      </w:r>
      <w:r>
        <w:rPr/>
        <w:t>el</w:t>
      </w:r>
      <w:r>
        <w:rPr>
          <w:spacing w:val="-12"/>
        </w:rPr>
        <w:t> </w:t>
      </w:r>
      <w:r>
        <w:rPr/>
        <w:t>modelo</w:t>
      </w:r>
      <w:r>
        <w:rPr>
          <w:spacing w:val="-11"/>
        </w:rPr>
        <w:t> </w:t>
      </w:r>
      <w:r>
        <w:rPr/>
        <w:t>de</w:t>
      </w:r>
      <w:r>
        <w:rPr>
          <w:spacing w:val="-11"/>
        </w:rPr>
        <w:t> </w:t>
      </w:r>
      <w:r>
        <w:rPr/>
        <w:t>negocio</w:t>
      </w:r>
      <w:r>
        <w:rPr>
          <w:spacing w:val="-11"/>
        </w:rPr>
        <w:t> </w:t>
      </w:r>
      <w:r>
        <w:rPr/>
        <w:t>que está aplicando a un grupo de activos financieros.</w:t>
      </w:r>
    </w:p>
    <w:p>
      <w:pPr>
        <w:pStyle w:val="BodyText"/>
        <w:spacing w:before="1"/>
      </w:pPr>
    </w:p>
    <w:p>
      <w:pPr>
        <w:pStyle w:val="BodyText"/>
        <w:spacing w:line="244" w:lineRule="auto"/>
        <w:ind w:left="2270" w:right="850"/>
        <w:jc w:val="both"/>
      </w:pPr>
      <w:r>
        <w:rPr/>
        <w:t>Con carácter general, se incluyen dentro de esta categoría los créditos por operaciones comerciales y los créditos por operaciones no comerciales:</w:t>
      </w:r>
    </w:p>
    <w:p>
      <w:pPr>
        <w:pStyle w:val="BodyText"/>
        <w:spacing w:before="8"/>
      </w:pPr>
    </w:p>
    <w:p>
      <w:pPr>
        <w:pStyle w:val="ListParagraph"/>
        <w:numPr>
          <w:ilvl w:val="0"/>
          <w:numId w:val="6"/>
        </w:numPr>
        <w:tabs>
          <w:tab w:pos="2411" w:val="left" w:leader="none"/>
        </w:tabs>
        <w:spacing w:line="247" w:lineRule="auto" w:before="0" w:after="0"/>
        <w:ind w:left="2270" w:right="852" w:firstLine="0"/>
        <w:jc w:val="both"/>
        <w:rPr>
          <w:sz w:val="22"/>
        </w:rPr>
      </w:pPr>
      <w:r>
        <w:rPr>
          <w:sz w:val="22"/>
        </w:rPr>
        <w:t>Créditos por operaciones comerciales: Aquellos activos financieros que se originan con</w:t>
      </w:r>
      <w:r>
        <w:rPr>
          <w:spacing w:val="-7"/>
          <w:sz w:val="22"/>
        </w:rPr>
        <w:t> </w:t>
      </w:r>
      <w:r>
        <w:rPr>
          <w:sz w:val="22"/>
        </w:rPr>
        <w:t>la</w:t>
      </w:r>
      <w:r>
        <w:rPr>
          <w:spacing w:val="-8"/>
          <w:sz w:val="22"/>
        </w:rPr>
        <w:t> </w:t>
      </w:r>
      <w:r>
        <w:rPr>
          <w:sz w:val="22"/>
        </w:rPr>
        <w:t>venta</w:t>
      </w:r>
      <w:r>
        <w:rPr>
          <w:spacing w:val="-8"/>
          <w:sz w:val="22"/>
        </w:rPr>
        <w:t> </w:t>
      </w:r>
      <w:r>
        <w:rPr>
          <w:sz w:val="22"/>
        </w:rPr>
        <w:t>bienes</w:t>
      </w:r>
      <w:r>
        <w:rPr>
          <w:spacing w:val="-8"/>
          <w:sz w:val="22"/>
        </w:rPr>
        <w:t> </w:t>
      </w:r>
      <w:r>
        <w:rPr>
          <w:sz w:val="22"/>
        </w:rPr>
        <w:t>y</w:t>
      </w:r>
      <w:r>
        <w:rPr>
          <w:spacing w:val="-8"/>
          <w:sz w:val="22"/>
        </w:rPr>
        <w:t> </w:t>
      </w:r>
      <w:r>
        <w:rPr>
          <w:sz w:val="22"/>
        </w:rPr>
        <w:t>la</w:t>
      </w:r>
      <w:r>
        <w:rPr>
          <w:spacing w:val="-8"/>
          <w:sz w:val="22"/>
        </w:rPr>
        <w:t> </w:t>
      </w:r>
      <w:r>
        <w:rPr>
          <w:sz w:val="22"/>
        </w:rPr>
        <w:t>prestación</w:t>
      </w:r>
      <w:r>
        <w:rPr>
          <w:spacing w:val="-7"/>
          <w:sz w:val="22"/>
        </w:rPr>
        <w:t> </w:t>
      </w:r>
      <w:r>
        <w:rPr>
          <w:sz w:val="22"/>
        </w:rPr>
        <w:t>de</w:t>
      </w:r>
      <w:r>
        <w:rPr>
          <w:spacing w:val="-8"/>
          <w:sz w:val="22"/>
        </w:rPr>
        <w:t> </w:t>
      </w:r>
      <w:r>
        <w:rPr>
          <w:sz w:val="22"/>
        </w:rPr>
        <w:t>servicios</w:t>
      </w:r>
      <w:r>
        <w:rPr>
          <w:spacing w:val="-8"/>
          <w:sz w:val="22"/>
        </w:rPr>
        <w:t> </w:t>
      </w:r>
      <w:r>
        <w:rPr>
          <w:sz w:val="22"/>
        </w:rPr>
        <w:t>por</w:t>
      </w:r>
      <w:r>
        <w:rPr>
          <w:spacing w:val="-8"/>
          <w:sz w:val="22"/>
        </w:rPr>
        <w:t> </w:t>
      </w:r>
      <w:r>
        <w:rPr>
          <w:sz w:val="22"/>
        </w:rPr>
        <w:t>operaciones</w:t>
      </w:r>
      <w:r>
        <w:rPr>
          <w:spacing w:val="-8"/>
          <w:sz w:val="22"/>
        </w:rPr>
        <w:t> </w:t>
      </w:r>
      <w:r>
        <w:rPr>
          <w:sz w:val="22"/>
        </w:rPr>
        <w:t>de</w:t>
      </w:r>
      <w:r>
        <w:rPr>
          <w:spacing w:val="-8"/>
          <w:sz w:val="22"/>
        </w:rPr>
        <w:t> </w:t>
      </w:r>
      <w:r>
        <w:rPr>
          <w:sz w:val="22"/>
        </w:rPr>
        <w:t>tráfico</w:t>
      </w:r>
      <w:r>
        <w:rPr>
          <w:spacing w:val="-8"/>
          <w:sz w:val="22"/>
        </w:rPr>
        <w:t> </w:t>
      </w:r>
      <w:r>
        <w:rPr>
          <w:sz w:val="22"/>
        </w:rPr>
        <w:t>de</w:t>
      </w:r>
      <w:r>
        <w:rPr>
          <w:spacing w:val="-8"/>
          <w:sz w:val="22"/>
        </w:rPr>
        <w:t> </w:t>
      </w:r>
      <w:r>
        <w:rPr>
          <w:sz w:val="22"/>
        </w:rPr>
        <w:t>la</w:t>
      </w:r>
      <w:r>
        <w:rPr>
          <w:spacing w:val="-8"/>
          <w:sz w:val="22"/>
        </w:rPr>
        <w:t> </w:t>
      </w:r>
      <w:r>
        <w:rPr>
          <w:sz w:val="22"/>
        </w:rPr>
        <w:t>empresa por el cobro aplazado.</w:t>
      </w:r>
    </w:p>
    <w:p>
      <w:pPr>
        <w:pStyle w:val="BodyText"/>
        <w:spacing w:before="5"/>
      </w:pPr>
    </w:p>
    <w:p>
      <w:pPr>
        <w:pStyle w:val="ListParagraph"/>
        <w:numPr>
          <w:ilvl w:val="0"/>
          <w:numId w:val="6"/>
        </w:numPr>
        <w:tabs>
          <w:tab w:pos="2411" w:val="left" w:leader="none"/>
        </w:tabs>
        <w:spacing w:line="247" w:lineRule="auto" w:before="0" w:after="0"/>
        <w:ind w:left="2270" w:right="847" w:firstLine="0"/>
        <w:jc w:val="both"/>
        <w:rPr>
          <w:sz w:val="22"/>
        </w:rPr>
      </w:pPr>
      <w:r>
        <w:rPr>
          <w:sz w:val="22"/>
        </w:rPr>
        <w:t>Créditos</w:t>
      </w:r>
      <w:r>
        <w:rPr>
          <w:spacing w:val="-9"/>
          <w:sz w:val="22"/>
        </w:rPr>
        <w:t> </w:t>
      </w:r>
      <w:r>
        <w:rPr>
          <w:sz w:val="22"/>
        </w:rPr>
        <w:t>por</w:t>
      </w:r>
      <w:r>
        <w:rPr>
          <w:spacing w:val="-11"/>
          <w:sz w:val="22"/>
        </w:rPr>
        <w:t> </w:t>
      </w:r>
      <w:r>
        <w:rPr>
          <w:sz w:val="22"/>
        </w:rPr>
        <w:t>operaciones</w:t>
      </w:r>
      <w:r>
        <w:rPr>
          <w:spacing w:val="-9"/>
          <w:sz w:val="22"/>
        </w:rPr>
        <w:t> </w:t>
      </w:r>
      <w:r>
        <w:rPr>
          <w:sz w:val="22"/>
        </w:rPr>
        <w:t>no</w:t>
      </w:r>
      <w:r>
        <w:rPr>
          <w:spacing w:val="-9"/>
          <w:sz w:val="22"/>
        </w:rPr>
        <w:t> </w:t>
      </w:r>
      <w:r>
        <w:rPr>
          <w:sz w:val="22"/>
        </w:rPr>
        <w:t>comerciales:</w:t>
      </w:r>
      <w:r>
        <w:rPr>
          <w:spacing w:val="-9"/>
          <w:sz w:val="22"/>
        </w:rPr>
        <w:t> </w:t>
      </w:r>
      <w:r>
        <w:rPr>
          <w:sz w:val="22"/>
        </w:rPr>
        <w:t>Aquellos</w:t>
      </w:r>
      <w:r>
        <w:rPr>
          <w:spacing w:val="-9"/>
          <w:sz w:val="22"/>
        </w:rPr>
        <w:t> </w:t>
      </w:r>
      <w:r>
        <w:rPr>
          <w:sz w:val="22"/>
        </w:rPr>
        <w:t>activos</w:t>
      </w:r>
      <w:r>
        <w:rPr>
          <w:spacing w:val="-9"/>
          <w:sz w:val="22"/>
        </w:rPr>
        <w:t> </w:t>
      </w:r>
      <w:r>
        <w:rPr>
          <w:sz w:val="22"/>
        </w:rPr>
        <w:t>financieros</w:t>
      </w:r>
      <w:r>
        <w:rPr>
          <w:spacing w:val="-9"/>
          <w:sz w:val="22"/>
        </w:rPr>
        <w:t> </w:t>
      </w:r>
      <w:r>
        <w:rPr>
          <w:sz w:val="22"/>
        </w:rPr>
        <w:t>que,</w:t>
      </w:r>
      <w:r>
        <w:rPr>
          <w:spacing w:val="-10"/>
          <w:sz w:val="22"/>
        </w:rPr>
        <w:t> </w:t>
      </w:r>
      <w:r>
        <w:rPr>
          <w:sz w:val="22"/>
        </w:rPr>
        <w:t>no</w:t>
      </w:r>
      <w:r>
        <w:rPr>
          <w:spacing w:val="28"/>
          <w:sz w:val="22"/>
        </w:rPr>
        <w:t> </w:t>
      </w:r>
      <w:r>
        <w:rPr>
          <w:sz w:val="22"/>
        </w:rPr>
        <w:t>siendo instrumentos</w:t>
      </w:r>
      <w:r>
        <w:rPr>
          <w:spacing w:val="-12"/>
          <w:sz w:val="22"/>
        </w:rPr>
        <w:t> </w:t>
      </w:r>
      <w:r>
        <w:rPr>
          <w:sz w:val="22"/>
        </w:rPr>
        <w:t>de</w:t>
      </w:r>
      <w:r>
        <w:rPr>
          <w:spacing w:val="-11"/>
          <w:sz w:val="22"/>
        </w:rPr>
        <w:t> </w:t>
      </w:r>
      <w:r>
        <w:rPr>
          <w:sz w:val="22"/>
        </w:rPr>
        <w:t>patrimonio</w:t>
      </w:r>
      <w:r>
        <w:rPr>
          <w:spacing w:val="-11"/>
          <w:sz w:val="22"/>
        </w:rPr>
        <w:t> </w:t>
      </w:r>
      <w:r>
        <w:rPr>
          <w:sz w:val="22"/>
        </w:rPr>
        <w:t>ni</w:t>
      </w:r>
      <w:r>
        <w:rPr>
          <w:spacing w:val="-11"/>
          <w:sz w:val="22"/>
        </w:rPr>
        <w:t> </w:t>
      </w:r>
      <w:r>
        <w:rPr>
          <w:sz w:val="22"/>
        </w:rPr>
        <w:t>derivados,</w:t>
      </w:r>
      <w:r>
        <w:rPr>
          <w:spacing w:val="-12"/>
          <w:sz w:val="22"/>
        </w:rPr>
        <w:t> </w:t>
      </w:r>
      <w:r>
        <w:rPr>
          <w:sz w:val="22"/>
        </w:rPr>
        <w:t>no</w:t>
      </w:r>
      <w:r>
        <w:rPr>
          <w:spacing w:val="-11"/>
          <w:sz w:val="22"/>
        </w:rPr>
        <w:t> </w:t>
      </w:r>
      <w:r>
        <w:rPr>
          <w:sz w:val="22"/>
        </w:rPr>
        <w:t>tienen</w:t>
      </w:r>
      <w:r>
        <w:rPr>
          <w:spacing w:val="-11"/>
          <w:sz w:val="22"/>
        </w:rPr>
        <w:t> </w:t>
      </w:r>
      <w:r>
        <w:rPr>
          <w:sz w:val="22"/>
        </w:rPr>
        <w:t>origen</w:t>
      </w:r>
      <w:r>
        <w:rPr>
          <w:spacing w:val="-11"/>
          <w:sz w:val="22"/>
        </w:rPr>
        <w:t> </w:t>
      </w:r>
      <w:r>
        <w:rPr>
          <w:sz w:val="22"/>
        </w:rPr>
        <w:t>comercial</w:t>
      </w:r>
      <w:r>
        <w:rPr>
          <w:spacing w:val="-11"/>
          <w:sz w:val="22"/>
        </w:rPr>
        <w:t> </w:t>
      </w:r>
      <w:r>
        <w:rPr>
          <w:sz w:val="22"/>
        </w:rPr>
        <w:t>y</w:t>
      </w:r>
      <w:r>
        <w:rPr>
          <w:spacing w:val="-11"/>
          <w:sz w:val="22"/>
        </w:rPr>
        <w:t> </w:t>
      </w:r>
      <w:r>
        <w:rPr>
          <w:sz w:val="22"/>
        </w:rPr>
        <w:t>cuyos</w:t>
      </w:r>
      <w:r>
        <w:rPr>
          <w:spacing w:val="-11"/>
          <w:sz w:val="22"/>
        </w:rPr>
        <w:t> </w:t>
      </w:r>
      <w:r>
        <w:rPr>
          <w:sz w:val="22"/>
        </w:rPr>
        <w:t>cobros</w:t>
      </w:r>
      <w:r>
        <w:rPr>
          <w:spacing w:val="-12"/>
          <w:sz w:val="22"/>
        </w:rPr>
        <w:t> </w:t>
      </w:r>
      <w:r>
        <w:rPr>
          <w:sz w:val="22"/>
        </w:rPr>
        <w:t>son de cuantía determinada o determinable, procedentes de operaciones de préstamo o crédito concedidas por la Sociedad.</w:t>
      </w:r>
    </w:p>
    <w:p>
      <w:pPr>
        <w:pStyle w:val="BodyText"/>
        <w:spacing w:before="5"/>
      </w:pPr>
    </w:p>
    <w:p>
      <w:pPr>
        <w:pStyle w:val="BodyText"/>
        <w:spacing w:line="244" w:lineRule="auto"/>
        <w:ind w:left="2270" w:right="855"/>
        <w:jc w:val="both"/>
      </w:pPr>
      <w:r>
        <w:rPr/>
        <w:t>Se registran inicialmente al valor razonable de la contraprestación entregada más los costes de la transacción que sean directamente atribuibles.</w:t>
      </w:r>
    </w:p>
    <w:p>
      <w:pPr>
        <w:pStyle w:val="BodyText"/>
        <w:spacing w:after="0" w:line="244" w:lineRule="auto"/>
        <w:jc w:val="both"/>
        <w:sectPr>
          <w:pgSz w:w="11910" w:h="16840"/>
          <w:pgMar w:header="694" w:footer="690" w:top="1920" w:bottom="880" w:left="708" w:right="425"/>
        </w:sectPr>
      </w:pPr>
    </w:p>
    <w:p>
      <w:pPr>
        <w:pStyle w:val="BodyText"/>
        <w:spacing w:line="247" w:lineRule="auto" w:before="187"/>
        <w:ind w:left="2270" w:right="848"/>
        <w:jc w:val="both"/>
      </w:pPr>
      <w:r>
        <w:rPr/>
        <w:t>No obstante, lo anterior, los créditos por operaciones comerciales con vencimiento no superior</w:t>
      </w:r>
      <w:r>
        <w:rPr>
          <w:spacing w:val="-6"/>
        </w:rPr>
        <w:t> </w:t>
      </w:r>
      <w:r>
        <w:rPr/>
        <w:t>a</w:t>
      </w:r>
      <w:r>
        <w:rPr>
          <w:spacing w:val="-7"/>
        </w:rPr>
        <w:t> </w:t>
      </w:r>
      <w:r>
        <w:rPr/>
        <w:t>un</w:t>
      </w:r>
      <w:r>
        <w:rPr>
          <w:spacing w:val="-8"/>
        </w:rPr>
        <w:t> </w:t>
      </w:r>
      <w:r>
        <w:rPr/>
        <w:t>año</w:t>
      </w:r>
      <w:r>
        <w:rPr>
          <w:spacing w:val="-6"/>
        </w:rPr>
        <w:t> </w:t>
      </w:r>
      <w:r>
        <w:rPr/>
        <w:t>y</w:t>
      </w:r>
      <w:r>
        <w:rPr>
          <w:spacing w:val="-8"/>
        </w:rPr>
        <w:t> </w:t>
      </w:r>
      <w:r>
        <w:rPr/>
        <w:t>que</w:t>
      </w:r>
      <w:r>
        <w:rPr>
          <w:spacing w:val="-8"/>
        </w:rPr>
        <w:t> </w:t>
      </w:r>
      <w:r>
        <w:rPr/>
        <w:t>no</w:t>
      </w:r>
      <w:r>
        <w:rPr>
          <w:spacing w:val="-8"/>
        </w:rPr>
        <w:t> </w:t>
      </w:r>
      <w:r>
        <w:rPr/>
        <w:t>tengan</w:t>
      </w:r>
      <w:r>
        <w:rPr>
          <w:spacing w:val="-7"/>
        </w:rPr>
        <w:t> </w:t>
      </w:r>
      <w:r>
        <w:rPr/>
        <w:t>un</w:t>
      </w:r>
      <w:r>
        <w:rPr>
          <w:spacing w:val="-7"/>
        </w:rPr>
        <w:t> </w:t>
      </w:r>
      <w:r>
        <w:rPr/>
        <w:t>tipo</w:t>
      </w:r>
      <w:r>
        <w:rPr>
          <w:spacing w:val="-7"/>
        </w:rPr>
        <w:t> </w:t>
      </w:r>
      <w:r>
        <w:rPr/>
        <w:t>de</w:t>
      </w:r>
      <w:r>
        <w:rPr>
          <w:spacing w:val="-7"/>
        </w:rPr>
        <w:t> </w:t>
      </w:r>
      <w:r>
        <w:rPr/>
        <w:t>interés</w:t>
      </w:r>
      <w:r>
        <w:rPr>
          <w:spacing w:val="-8"/>
        </w:rPr>
        <w:t> </w:t>
      </w:r>
      <w:r>
        <w:rPr/>
        <w:t>contractual</w:t>
      </w:r>
      <w:r>
        <w:rPr>
          <w:spacing w:val="-7"/>
        </w:rPr>
        <w:t> </w:t>
      </w:r>
      <w:r>
        <w:rPr/>
        <w:t>se</w:t>
      </w:r>
      <w:r>
        <w:rPr>
          <w:spacing w:val="-7"/>
        </w:rPr>
        <w:t> </w:t>
      </w:r>
      <w:r>
        <w:rPr/>
        <w:t>valoran</w:t>
      </w:r>
      <w:r>
        <w:rPr>
          <w:spacing w:val="30"/>
        </w:rPr>
        <w:t> </w:t>
      </w:r>
      <w:r>
        <w:rPr/>
        <w:t>inicialmente por</w:t>
      </w:r>
      <w:r>
        <w:rPr>
          <w:spacing w:val="-1"/>
        </w:rPr>
        <w:t> </w:t>
      </w:r>
      <w:r>
        <w:rPr/>
        <w:t>su</w:t>
      </w:r>
      <w:r>
        <w:rPr>
          <w:spacing w:val="-1"/>
        </w:rPr>
        <w:t> </w:t>
      </w:r>
      <w:r>
        <w:rPr/>
        <w:t>valor</w:t>
      </w:r>
      <w:r>
        <w:rPr>
          <w:spacing w:val="-1"/>
        </w:rPr>
        <w:t> </w:t>
      </w:r>
      <w:r>
        <w:rPr/>
        <w:t>nominal,</w:t>
      </w:r>
      <w:r>
        <w:rPr>
          <w:spacing w:val="-1"/>
        </w:rPr>
        <w:t> </w:t>
      </w:r>
      <w:r>
        <w:rPr/>
        <w:t>siempre</w:t>
      </w:r>
      <w:r>
        <w:rPr>
          <w:spacing w:val="-1"/>
        </w:rPr>
        <w:t> </w:t>
      </w:r>
      <w:r>
        <w:rPr/>
        <w:t>y</w:t>
      </w:r>
      <w:r>
        <w:rPr>
          <w:spacing w:val="-1"/>
        </w:rPr>
        <w:t> </w:t>
      </w:r>
      <w:r>
        <w:rPr/>
        <w:t>cuando</w:t>
      </w:r>
      <w:r>
        <w:rPr>
          <w:spacing w:val="-2"/>
        </w:rPr>
        <w:t> </w:t>
      </w:r>
      <w:r>
        <w:rPr/>
        <w:t>el</w:t>
      </w:r>
      <w:r>
        <w:rPr>
          <w:spacing w:val="-1"/>
        </w:rPr>
        <w:t> </w:t>
      </w:r>
      <w:r>
        <w:rPr/>
        <w:t>efecto</w:t>
      </w:r>
      <w:r>
        <w:rPr>
          <w:spacing w:val="-1"/>
        </w:rPr>
        <w:t> </w:t>
      </w:r>
      <w:r>
        <w:rPr/>
        <w:t>de</w:t>
      </w:r>
      <w:r>
        <w:rPr>
          <w:spacing w:val="-1"/>
        </w:rPr>
        <w:t> </w:t>
      </w:r>
      <w:r>
        <w:rPr/>
        <w:t>no</w:t>
      </w:r>
      <w:r>
        <w:rPr>
          <w:spacing w:val="-1"/>
        </w:rPr>
        <w:t> </w:t>
      </w:r>
      <w:r>
        <w:rPr/>
        <w:t>actualizar</w:t>
      </w:r>
      <w:r>
        <w:rPr>
          <w:spacing w:val="-2"/>
        </w:rPr>
        <w:t> </w:t>
      </w:r>
      <w:r>
        <w:rPr/>
        <w:t>los</w:t>
      </w:r>
      <w:r>
        <w:rPr>
          <w:spacing w:val="-1"/>
        </w:rPr>
        <w:t> </w:t>
      </w:r>
      <w:r>
        <w:rPr/>
        <w:t>flujos</w:t>
      </w:r>
      <w:r>
        <w:rPr>
          <w:spacing w:val="-2"/>
        </w:rPr>
        <w:t> </w:t>
      </w:r>
      <w:r>
        <w:rPr/>
        <w:t>de</w:t>
      </w:r>
      <w:r>
        <w:rPr>
          <w:spacing w:val="-1"/>
        </w:rPr>
        <w:t> </w:t>
      </w:r>
      <w:r>
        <w:rPr/>
        <w:t>efectivo no sea significativo, en cuyo caso se seguirán valorando posteriormente por dicho importe, salvo que se hubieran deteriorado.</w:t>
      </w:r>
    </w:p>
    <w:p>
      <w:pPr>
        <w:pStyle w:val="BodyText"/>
        <w:spacing w:before="4"/>
      </w:pPr>
    </w:p>
    <w:p>
      <w:pPr>
        <w:pStyle w:val="BodyText"/>
        <w:spacing w:line="244" w:lineRule="auto"/>
        <w:ind w:left="2269" w:right="854"/>
        <w:jc w:val="both"/>
      </w:pPr>
      <w:r>
        <w:rPr/>
        <w:t>Con posterioridad a su reconocimiento inicial, se valoran a coste amortizado. Los intereses devengados se contabilizan en la cuenta de pérdidas y ganancias abreviada.</w:t>
      </w:r>
    </w:p>
    <w:p>
      <w:pPr>
        <w:pStyle w:val="BodyText"/>
        <w:spacing w:before="9"/>
      </w:pPr>
    </w:p>
    <w:p>
      <w:pPr>
        <w:pStyle w:val="BodyText"/>
        <w:spacing w:line="247" w:lineRule="auto" w:before="1"/>
        <w:ind w:left="2270" w:right="845"/>
        <w:jc w:val="both"/>
      </w:pPr>
      <w:r>
        <w:rPr/>
        <w:t>Al cierre del ejercicio, la Sociedad efectúa las correcciones valorativas por deterioro oportunas</w:t>
      </w:r>
      <w:r>
        <w:rPr>
          <w:spacing w:val="-7"/>
        </w:rPr>
        <w:t> </w:t>
      </w:r>
      <w:r>
        <w:rPr/>
        <w:t>siempre</w:t>
      </w:r>
      <w:r>
        <w:rPr>
          <w:spacing w:val="-7"/>
        </w:rPr>
        <w:t> </w:t>
      </w:r>
      <w:r>
        <w:rPr/>
        <w:t>que</w:t>
      </w:r>
      <w:r>
        <w:rPr>
          <w:spacing w:val="-7"/>
        </w:rPr>
        <w:t> </w:t>
      </w:r>
      <w:r>
        <w:rPr/>
        <w:t>existe</w:t>
      </w:r>
      <w:r>
        <w:rPr>
          <w:spacing w:val="-7"/>
        </w:rPr>
        <w:t> </w:t>
      </w:r>
      <w:r>
        <w:rPr/>
        <w:t>evidencia</w:t>
      </w:r>
      <w:r>
        <w:rPr>
          <w:spacing w:val="-7"/>
        </w:rPr>
        <w:t> </w:t>
      </w:r>
      <w:r>
        <w:rPr/>
        <w:t>objetiva</w:t>
      </w:r>
      <w:r>
        <w:rPr>
          <w:spacing w:val="-7"/>
        </w:rPr>
        <w:t> </w:t>
      </w:r>
      <w:r>
        <w:rPr/>
        <w:t>de</w:t>
      </w:r>
      <w:r>
        <w:rPr>
          <w:spacing w:val="-7"/>
        </w:rPr>
        <w:t> </w:t>
      </w:r>
      <w:r>
        <w:rPr/>
        <w:t>que</w:t>
      </w:r>
      <w:r>
        <w:rPr>
          <w:spacing w:val="-7"/>
        </w:rPr>
        <w:t> </w:t>
      </w:r>
      <w:r>
        <w:rPr/>
        <w:t>el</w:t>
      </w:r>
      <w:r>
        <w:rPr>
          <w:spacing w:val="-7"/>
        </w:rPr>
        <w:t> </w:t>
      </w:r>
      <w:r>
        <w:rPr/>
        <w:t>valor</w:t>
      </w:r>
      <w:r>
        <w:rPr>
          <w:spacing w:val="-8"/>
        </w:rPr>
        <w:t> </w:t>
      </w:r>
      <w:r>
        <w:rPr/>
        <w:t>de</w:t>
      </w:r>
      <w:r>
        <w:rPr>
          <w:spacing w:val="-7"/>
        </w:rPr>
        <w:t> </w:t>
      </w:r>
      <w:r>
        <w:rPr/>
        <w:t>un</w:t>
      </w:r>
      <w:r>
        <w:rPr>
          <w:spacing w:val="-7"/>
        </w:rPr>
        <w:t> </w:t>
      </w:r>
      <w:r>
        <w:rPr/>
        <w:t>activo</w:t>
      </w:r>
      <w:r>
        <w:rPr>
          <w:spacing w:val="-6"/>
        </w:rPr>
        <w:t> </w:t>
      </w:r>
      <w:r>
        <w:rPr/>
        <w:t>financiero, o</w:t>
      </w:r>
      <w:r>
        <w:rPr>
          <w:spacing w:val="-2"/>
        </w:rPr>
        <w:t> </w:t>
      </w:r>
      <w:r>
        <w:rPr/>
        <w:t>de</w:t>
      </w:r>
      <w:r>
        <w:rPr>
          <w:spacing w:val="-2"/>
        </w:rPr>
        <w:t> </w:t>
      </w:r>
      <w:r>
        <w:rPr/>
        <w:t>un</w:t>
      </w:r>
      <w:r>
        <w:rPr>
          <w:spacing w:val="-2"/>
        </w:rPr>
        <w:t> </w:t>
      </w:r>
      <w:r>
        <w:rPr/>
        <w:t>grupo</w:t>
      </w:r>
      <w:r>
        <w:rPr>
          <w:spacing w:val="-3"/>
        </w:rPr>
        <w:t> </w:t>
      </w:r>
      <w:r>
        <w:rPr/>
        <w:t>de</w:t>
      </w:r>
      <w:r>
        <w:rPr>
          <w:spacing w:val="-2"/>
        </w:rPr>
        <w:t> </w:t>
      </w:r>
      <w:r>
        <w:rPr/>
        <w:t>activos</w:t>
      </w:r>
      <w:r>
        <w:rPr>
          <w:spacing w:val="-3"/>
        </w:rPr>
        <w:t> </w:t>
      </w:r>
      <w:r>
        <w:rPr/>
        <w:t>financieros</w:t>
      </w:r>
      <w:r>
        <w:rPr>
          <w:spacing w:val="-2"/>
        </w:rPr>
        <w:t> </w:t>
      </w:r>
      <w:r>
        <w:rPr/>
        <w:t>con</w:t>
      </w:r>
      <w:r>
        <w:rPr>
          <w:spacing w:val="-2"/>
        </w:rPr>
        <w:t> </w:t>
      </w:r>
      <w:r>
        <w:rPr/>
        <w:t>similares</w:t>
      </w:r>
      <w:r>
        <w:rPr>
          <w:spacing w:val="-2"/>
        </w:rPr>
        <w:t> </w:t>
      </w:r>
      <w:r>
        <w:rPr/>
        <w:t>características</w:t>
      </w:r>
      <w:r>
        <w:rPr>
          <w:spacing w:val="-3"/>
        </w:rPr>
        <w:t> </w:t>
      </w:r>
      <w:r>
        <w:rPr/>
        <w:t>de</w:t>
      </w:r>
      <w:r>
        <w:rPr>
          <w:spacing w:val="40"/>
        </w:rPr>
        <w:t> </w:t>
      </w:r>
      <w:r>
        <w:rPr/>
        <w:t>riesgos</w:t>
      </w:r>
      <w:r>
        <w:rPr>
          <w:spacing w:val="-3"/>
        </w:rPr>
        <w:t> </w:t>
      </w:r>
      <w:r>
        <w:rPr/>
        <w:t>valorados colectivamente, se ha deteriorado como resultado de uno o más eventos ocurridos después</w:t>
      </w:r>
      <w:r>
        <w:rPr>
          <w:spacing w:val="-13"/>
        </w:rPr>
        <w:t> </w:t>
      </w:r>
      <w:r>
        <w:rPr/>
        <w:t>de</w:t>
      </w:r>
      <w:r>
        <w:rPr>
          <w:spacing w:val="-13"/>
        </w:rPr>
        <w:t> </w:t>
      </w:r>
      <w:r>
        <w:rPr/>
        <w:t>su</w:t>
      </w:r>
      <w:r>
        <w:rPr>
          <w:spacing w:val="-11"/>
        </w:rPr>
        <w:t> </w:t>
      </w:r>
      <w:r>
        <w:rPr/>
        <w:t>reconocimiento</w:t>
      </w:r>
      <w:r>
        <w:rPr>
          <w:spacing w:val="-12"/>
        </w:rPr>
        <w:t> </w:t>
      </w:r>
      <w:r>
        <w:rPr/>
        <w:t>inicial,</w:t>
      </w:r>
      <w:r>
        <w:rPr>
          <w:spacing w:val="-13"/>
        </w:rPr>
        <w:t> </w:t>
      </w:r>
      <w:r>
        <w:rPr/>
        <w:t>que</w:t>
      </w:r>
      <w:r>
        <w:rPr>
          <w:spacing w:val="-13"/>
        </w:rPr>
        <w:t> </w:t>
      </w:r>
      <w:r>
        <w:rPr/>
        <w:t>ocasionan</w:t>
      </w:r>
      <w:r>
        <w:rPr>
          <w:spacing w:val="-13"/>
        </w:rPr>
        <w:t> </w:t>
      </w:r>
      <w:r>
        <w:rPr/>
        <w:t>una</w:t>
      </w:r>
      <w:r>
        <w:rPr>
          <w:spacing w:val="-13"/>
        </w:rPr>
        <w:t> </w:t>
      </w:r>
      <w:r>
        <w:rPr/>
        <w:t>reducción</w:t>
      </w:r>
      <w:r>
        <w:rPr>
          <w:spacing w:val="23"/>
        </w:rPr>
        <w:t> </w:t>
      </w:r>
      <w:r>
        <w:rPr/>
        <w:t>o</w:t>
      </w:r>
      <w:r>
        <w:rPr>
          <w:spacing w:val="-12"/>
        </w:rPr>
        <w:t> </w:t>
      </w:r>
      <w:r>
        <w:rPr/>
        <w:t>retraso</w:t>
      </w:r>
      <w:r>
        <w:rPr>
          <w:spacing w:val="-13"/>
        </w:rPr>
        <w:t> </w:t>
      </w:r>
      <w:r>
        <w:rPr/>
        <w:t>en</w:t>
      </w:r>
      <w:r>
        <w:rPr>
          <w:spacing w:val="-13"/>
        </w:rPr>
        <w:t> </w:t>
      </w:r>
      <w:r>
        <w:rPr/>
        <w:t>el</w:t>
      </w:r>
      <w:r>
        <w:rPr>
          <w:spacing w:val="-12"/>
        </w:rPr>
        <w:t> </w:t>
      </w:r>
      <w:r>
        <w:rPr/>
        <w:t>cobro de los flujos de efectivo futuros estimados, que puedan venir motivados por la insolvencia del deudor.</w:t>
      </w:r>
    </w:p>
    <w:p>
      <w:pPr>
        <w:pStyle w:val="BodyText"/>
        <w:spacing w:before="3"/>
      </w:pPr>
    </w:p>
    <w:p>
      <w:pPr>
        <w:pStyle w:val="BodyText"/>
        <w:spacing w:line="247" w:lineRule="auto"/>
        <w:ind w:left="2270" w:right="845"/>
        <w:jc w:val="both"/>
      </w:pPr>
      <w:r>
        <w:rPr/>
        <w:t>Las</w:t>
      </w:r>
      <w:r>
        <w:rPr>
          <w:spacing w:val="-10"/>
        </w:rPr>
        <w:t> </w:t>
      </w:r>
      <w:r>
        <w:rPr/>
        <w:t>correcciones</w:t>
      </w:r>
      <w:r>
        <w:rPr>
          <w:spacing w:val="-10"/>
        </w:rPr>
        <w:t> </w:t>
      </w:r>
      <w:r>
        <w:rPr/>
        <w:t>valorativas</w:t>
      </w:r>
      <w:r>
        <w:rPr>
          <w:spacing w:val="-10"/>
        </w:rPr>
        <w:t> </w:t>
      </w:r>
      <w:r>
        <w:rPr/>
        <w:t>por</w:t>
      </w:r>
      <w:r>
        <w:rPr>
          <w:spacing w:val="-9"/>
        </w:rPr>
        <w:t> </w:t>
      </w:r>
      <w:r>
        <w:rPr/>
        <w:t>deterioro</w:t>
      </w:r>
      <w:r>
        <w:rPr>
          <w:spacing w:val="-9"/>
        </w:rPr>
        <w:t> </w:t>
      </w:r>
      <w:r>
        <w:rPr/>
        <w:t>se</w:t>
      </w:r>
      <w:r>
        <w:rPr>
          <w:spacing w:val="-10"/>
        </w:rPr>
        <w:t> </w:t>
      </w:r>
      <w:r>
        <w:rPr/>
        <w:t>registran</w:t>
      </w:r>
      <w:r>
        <w:rPr>
          <w:spacing w:val="-9"/>
        </w:rPr>
        <w:t> </w:t>
      </w:r>
      <w:r>
        <w:rPr/>
        <w:t>en</w:t>
      </w:r>
      <w:r>
        <w:rPr>
          <w:spacing w:val="-9"/>
        </w:rPr>
        <w:t> </w:t>
      </w:r>
      <w:r>
        <w:rPr/>
        <w:t>función</w:t>
      </w:r>
      <w:r>
        <w:rPr>
          <w:spacing w:val="-10"/>
        </w:rPr>
        <w:t> </w:t>
      </w:r>
      <w:r>
        <w:rPr/>
        <w:t>de</w:t>
      </w:r>
      <w:r>
        <w:rPr>
          <w:spacing w:val="-9"/>
        </w:rPr>
        <w:t> </w:t>
      </w:r>
      <w:r>
        <w:rPr/>
        <w:t>la</w:t>
      </w:r>
      <w:r>
        <w:rPr>
          <w:spacing w:val="-9"/>
        </w:rPr>
        <w:t> </w:t>
      </w:r>
      <w:r>
        <w:rPr/>
        <w:t>diferencia</w:t>
      </w:r>
      <w:r>
        <w:rPr>
          <w:spacing w:val="40"/>
        </w:rPr>
        <w:t> </w:t>
      </w:r>
      <w:r>
        <w:rPr/>
        <w:t>entre su</w:t>
      </w:r>
      <w:r>
        <w:rPr>
          <w:spacing w:val="-6"/>
        </w:rPr>
        <w:t> </w:t>
      </w:r>
      <w:r>
        <w:rPr/>
        <w:t>valor</w:t>
      </w:r>
      <w:r>
        <w:rPr>
          <w:spacing w:val="-7"/>
        </w:rPr>
        <w:t> </w:t>
      </w:r>
      <w:r>
        <w:rPr/>
        <w:t>en</w:t>
      </w:r>
      <w:r>
        <w:rPr>
          <w:spacing w:val="-8"/>
        </w:rPr>
        <w:t> </w:t>
      </w:r>
      <w:r>
        <w:rPr/>
        <w:t>libros</w:t>
      </w:r>
      <w:r>
        <w:rPr>
          <w:spacing w:val="-6"/>
        </w:rPr>
        <w:t> </w:t>
      </w:r>
      <w:r>
        <w:rPr/>
        <w:t>y</w:t>
      </w:r>
      <w:r>
        <w:rPr>
          <w:spacing w:val="-8"/>
        </w:rPr>
        <w:t> </w:t>
      </w:r>
      <w:r>
        <w:rPr/>
        <w:t>el</w:t>
      </w:r>
      <w:r>
        <w:rPr>
          <w:spacing w:val="-7"/>
        </w:rPr>
        <w:t> </w:t>
      </w:r>
      <w:r>
        <w:rPr/>
        <w:t>valor</w:t>
      </w:r>
      <w:r>
        <w:rPr>
          <w:spacing w:val="-7"/>
        </w:rPr>
        <w:t> </w:t>
      </w:r>
      <w:r>
        <w:rPr/>
        <w:t>actual</w:t>
      </w:r>
      <w:r>
        <w:rPr>
          <w:spacing w:val="-7"/>
        </w:rPr>
        <w:t> </w:t>
      </w:r>
      <w:r>
        <w:rPr/>
        <w:t>al</w:t>
      </w:r>
      <w:r>
        <w:rPr>
          <w:spacing w:val="-7"/>
        </w:rPr>
        <w:t> </w:t>
      </w:r>
      <w:r>
        <w:rPr/>
        <w:t>cierre</w:t>
      </w:r>
      <w:r>
        <w:rPr>
          <w:spacing w:val="-8"/>
        </w:rPr>
        <w:t> </w:t>
      </w:r>
      <w:r>
        <w:rPr/>
        <w:t>del</w:t>
      </w:r>
      <w:r>
        <w:rPr>
          <w:spacing w:val="-6"/>
        </w:rPr>
        <w:t> </w:t>
      </w:r>
      <w:r>
        <w:rPr/>
        <w:t>ejercicio</w:t>
      </w:r>
      <w:r>
        <w:rPr>
          <w:spacing w:val="-6"/>
        </w:rPr>
        <w:t> </w:t>
      </w:r>
      <w:r>
        <w:rPr/>
        <w:t>de</w:t>
      </w:r>
      <w:r>
        <w:rPr>
          <w:spacing w:val="-7"/>
        </w:rPr>
        <w:t> </w:t>
      </w:r>
      <w:r>
        <w:rPr/>
        <w:t>los</w:t>
      </w:r>
      <w:r>
        <w:rPr>
          <w:spacing w:val="-6"/>
        </w:rPr>
        <w:t> </w:t>
      </w:r>
      <w:r>
        <w:rPr/>
        <w:t>flujos</w:t>
      </w:r>
      <w:r>
        <w:rPr>
          <w:spacing w:val="-8"/>
        </w:rPr>
        <w:t> </w:t>
      </w:r>
      <w:r>
        <w:rPr/>
        <w:t>de</w:t>
      </w:r>
      <w:r>
        <w:rPr>
          <w:spacing w:val="-7"/>
        </w:rPr>
        <w:t> </w:t>
      </w:r>
      <w:r>
        <w:rPr/>
        <w:t>efectivo</w:t>
      </w:r>
      <w:r>
        <w:rPr>
          <w:spacing w:val="-6"/>
        </w:rPr>
        <w:t> </w:t>
      </w:r>
      <w:r>
        <w:rPr/>
        <w:t>futuros que se estima van a generar (incluyendo los procedentes de la ejecución de garantías reales</w:t>
      </w:r>
      <w:r>
        <w:rPr>
          <w:spacing w:val="-1"/>
        </w:rPr>
        <w:t> </w:t>
      </w:r>
      <w:r>
        <w:rPr/>
        <w:t>y/o</w:t>
      </w:r>
      <w:r>
        <w:rPr>
          <w:spacing w:val="-1"/>
        </w:rPr>
        <w:t> </w:t>
      </w:r>
      <w:r>
        <w:rPr/>
        <w:t>personales),</w:t>
      </w:r>
      <w:r>
        <w:rPr>
          <w:spacing w:val="-1"/>
        </w:rPr>
        <w:t> </w:t>
      </w:r>
      <w:r>
        <w:rPr/>
        <w:t>descontados</w:t>
      </w:r>
      <w:r>
        <w:rPr>
          <w:spacing w:val="-1"/>
        </w:rPr>
        <w:t> </w:t>
      </w:r>
      <w:r>
        <w:rPr/>
        <w:t>al</w:t>
      </w:r>
      <w:r>
        <w:rPr>
          <w:spacing w:val="-1"/>
        </w:rPr>
        <w:t> </w:t>
      </w:r>
      <w:r>
        <w:rPr/>
        <w:t>tipo</w:t>
      </w:r>
      <w:r>
        <w:rPr>
          <w:spacing w:val="-1"/>
        </w:rPr>
        <w:t> </w:t>
      </w:r>
      <w:r>
        <w:rPr/>
        <w:t>de</w:t>
      </w:r>
      <w:r>
        <w:rPr>
          <w:spacing w:val="-1"/>
        </w:rPr>
        <w:t> </w:t>
      </w:r>
      <w:r>
        <w:rPr/>
        <w:t>interés</w:t>
      </w:r>
      <w:r>
        <w:rPr>
          <w:spacing w:val="-2"/>
        </w:rPr>
        <w:t> </w:t>
      </w:r>
      <w:r>
        <w:rPr/>
        <w:t>efectivo</w:t>
      </w:r>
      <w:r>
        <w:rPr>
          <w:spacing w:val="-1"/>
        </w:rPr>
        <w:t> </w:t>
      </w:r>
      <w:r>
        <w:rPr/>
        <w:t>calculado</w:t>
      </w:r>
      <w:r>
        <w:rPr>
          <w:spacing w:val="-1"/>
        </w:rPr>
        <w:t> </w:t>
      </w:r>
      <w:r>
        <w:rPr/>
        <w:t>en</w:t>
      </w:r>
      <w:r>
        <w:rPr>
          <w:spacing w:val="-1"/>
        </w:rPr>
        <w:t> </w:t>
      </w:r>
      <w:r>
        <w:rPr/>
        <w:t>el</w:t>
      </w:r>
      <w:r>
        <w:rPr>
          <w:spacing w:val="-1"/>
        </w:rPr>
        <w:t> </w:t>
      </w:r>
      <w:r>
        <w:rPr/>
        <w:t>momento de su reconocimiento inicial. Para los activos financieros a tipo de interés variable, la Sociedad emplea el tipo de interés efectivo que, conforme a las</w:t>
      </w:r>
      <w:r>
        <w:rPr>
          <w:spacing w:val="40"/>
        </w:rPr>
        <w:t> </w:t>
      </w:r>
      <w:r>
        <w:rPr/>
        <w:t>condiciones contractuales</w:t>
      </w:r>
      <w:r>
        <w:rPr>
          <w:spacing w:val="-1"/>
        </w:rPr>
        <w:t> </w:t>
      </w:r>
      <w:r>
        <w:rPr/>
        <w:t>del</w:t>
      </w:r>
      <w:r>
        <w:rPr>
          <w:spacing w:val="-2"/>
        </w:rPr>
        <w:t> </w:t>
      </w:r>
      <w:r>
        <w:rPr/>
        <w:t>instrumento,</w:t>
      </w:r>
      <w:r>
        <w:rPr>
          <w:spacing w:val="-2"/>
        </w:rPr>
        <w:t> </w:t>
      </w:r>
      <w:r>
        <w:rPr/>
        <w:t>corresponde</w:t>
      </w:r>
      <w:r>
        <w:rPr>
          <w:spacing w:val="-3"/>
        </w:rPr>
        <w:t> </w:t>
      </w:r>
      <w:r>
        <w:rPr/>
        <w:t>aplicar</w:t>
      </w:r>
      <w:r>
        <w:rPr>
          <w:spacing w:val="-2"/>
        </w:rPr>
        <w:t> </w:t>
      </w:r>
      <w:r>
        <w:rPr/>
        <w:t>a</w:t>
      </w:r>
      <w:r>
        <w:rPr>
          <w:spacing w:val="-2"/>
        </w:rPr>
        <w:t> </w:t>
      </w:r>
      <w:r>
        <w:rPr/>
        <w:t>fecha</w:t>
      </w:r>
      <w:r>
        <w:rPr>
          <w:spacing w:val="-3"/>
        </w:rPr>
        <w:t> </w:t>
      </w:r>
      <w:r>
        <w:rPr/>
        <w:t>de</w:t>
      </w:r>
      <w:r>
        <w:rPr>
          <w:spacing w:val="-1"/>
        </w:rPr>
        <w:t> </w:t>
      </w:r>
      <w:r>
        <w:rPr/>
        <w:t>cierre</w:t>
      </w:r>
      <w:r>
        <w:rPr>
          <w:spacing w:val="-2"/>
        </w:rPr>
        <w:t> </w:t>
      </w:r>
      <w:r>
        <w:rPr/>
        <w:t>del</w:t>
      </w:r>
      <w:r>
        <w:rPr>
          <w:spacing w:val="-2"/>
        </w:rPr>
        <w:t> </w:t>
      </w:r>
      <w:r>
        <w:rPr/>
        <w:t>ejercicio.</w:t>
      </w:r>
      <w:r>
        <w:rPr>
          <w:spacing w:val="-2"/>
        </w:rPr>
        <w:t> </w:t>
      </w:r>
      <w:r>
        <w:rPr/>
        <w:t>Estas correcciones se reconocen en la cuenta de pérdidas y ganancias abreviada.</w:t>
      </w:r>
    </w:p>
    <w:p>
      <w:pPr>
        <w:pStyle w:val="BodyText"/>
        <w:spacing w:before="7"/>
      </w:pPr>
    </w:p>
    <w:p>
      <w:pPr>
        <w:pStyle w:val="ListParagraph"/>
        <w:numPr>
          <w:ilvl w:val="2"/>
          <w:numId w:val="5"/>
        </w:numPr>
        <w:tabs>
          <w:tab w:pos="2265" w:val="left" w:leader="none"/>
        </w:tabs>
        <w:spacing w:line="240" w:lineRule="auto" w:before="0" w:after="0"/>
        <w:ind w:left="2265" w:right="0" w:hanging="562"/>
        <w:jc w:val="left"/>
        <w:rPr>
          <w:sz w:val="22"/>
        </w:rPr>
      </w:pPr>
      <w:r>
        <w:rPr>
          <w:sz w:val="22"/>
        </w:rPr>
        <w:t>Baja</w:t>
      </w:r>
      <w:r>
        <w:rPr>
          <w:spacing w:val="-9"/>
          <w:sz w:val="22"/>
        </w:rPr>
        <w:t> </w:t>
      </w:r>
      <w:r>
        <w:rPr>
          <w:sz w:val="22"/>
        </w:rPr>
        <w:t>de</w:t>
      </w:r>
      <w:r>
        <w:rPr>
          <w:spacing w:val="-6"/>
          <w:sz w:val="22"/>
        </w:rPr>
        <w:t> </w:t>
      </w:r>
      <w:r>
        <w:rPr>
          <w:sz w:val="22"/>
        </w:rPr>
        <w:t>activos</w:t>
      </w:r>
      <w:r>
        <w:rPr>
          <w:spacing w:val="-7"/>
          <w:sz w:val="22"/>
        </w:rPr>
        <w:t> </w:t>
      </w:r>
      <w:r>
        <w:rPr>
          <w:spacing w:val="-2"/>
          <w:sz w:val="22"/>
        </w:rPr>
        <w:t>financieros</w:t>
      </w:r>
    </w:p>
    <w:p>
      <w:pPr>
        <w:pStyle w:val="BodyText"/>
        <w:spacing w:before="12"/>
      </w:pPr>
    </w:p>
    <w:p>
      <w:pPr>
        <w:pStyle w:val="BodyText"/>
        <w:spacing w:line="247" w:lineRule="auto"/>
        <w:ind w:left="2150" w:right="847"/>
        <w:jc w:val="both"/>
      </w:pPr>
      <w:r>
        <w:rPr/>
        <w:t>Los activos financieros se dan de baja del balance, tal y como establece el Marco Conceptual de Contabilidad, del Plan General de Contabilidad, aprobado por el Real Decreto 1514/2007, de 16 de noviembre, atendiendo a la realidad económica de las transacciones y no sólo a la forma jurídica de los contratos que la regulan. En concreto, la baja de un activo financiero se registra, en su totalidad o en una parte, cuando han expirado los derechos contractuales sobre los flujos de efectivo del activo financiero o cuando se transfieren, siempre que en dicha transferencia se transmitan sustancialmente los</w:t>
      </w:r>
      <w:r>
        <w:rPr>
          <w:spacing w:val="-11"/>
        </w:rPr>
        <w:t> </w:t>
      </w:r>
      <w:r>
        <w:rPr/>
        <w:t>riesgos</w:t>
      </w:r>
      <w:r>
        <w:rPr>
          <w:spacing w:val="-11"/>
        </w:rPr>
        <w:t> </w:t>
      </w:r>
      <w:r>
        <w:rPr/>
        <w:t>y</w:t>
      </w:r>
      <w:r>
        <w:rPr>
          <w:spacing w:val="-10"/>
        </w:rPr>
        <w:t> </w:t>
      </w:r>
      <w:r>
        <w:rPr/>
        <w:t>beneficios</w:t>
      </w:r>
      <w:r>
        <w:rPr>
          <w:spacing w:val="-10"/>
        </w:rPr>
        <w:t> </w:t>
      </w:r>
      <w:r>
        <w:rPr/>
        <w:t>inherentes</w:t>
      </w:r>
      <w:r>
        <w:rPr>
          <w:spacing w:val="-11"/>
        </w:rPr>
        <w:t> </w:t>
      </w:r>
      <w:r>
        <w:rPr/>
        <w:t>a</w:t>
      </w:r>
      <w:r>
        <w:rPr>
          <w:spacing w:val="-11"/>
        </w:rPr>
        <w:t> </w:t>
      </w:r>
      <w:r>
        <w:rPr/>
        <w:t>su</w:t>
      </w:r>
      <w:r>
        <w:rPr>
          <w:spacing w:val="-9"/>
        </w:rPr>
        <w:t> </w:t>
      </w:r>
      <w:r>
        <w:rPr/>
        <w:t>propiedad.</w:t>
      </w:r>
      <w:r>
        <w:rPr>
          <w:spacing w:val="-10"/>
        </w:rPr>
        <w:t> </w:t>
      </w:r>
      <w:r>
        <w:rPr/>
        <w:t>La</w:t>
      </w:r>
      <w:r>
        <w:rPr>
          <w:spacing w:val="-12"/>
        </w:rPr>
        <w:t> </w:t>
      </w:r>
      <w:r>
        <w:rPr/>
        <w:t>Sociedad</w:t>
      </w:r>
      <w:r>
        <w:rPr>
          <w:spacing w:val="-10"/>
        </w:rPr>
        <w:t> </w:t>
      </w:r>
      <w:r>
        <w:rPr/>
        <w:t>entiende</w:t>
      </w:r>
      <w:r>
        <w:rPr>
          <w:spacing w:val="-10"/>
        </w:rPr>
        <w:t> </w:t>
      </w:r>
      <w:r>
        <w:rPr/>
        <w:t>que</w:t>
      </w:r>
      <w:r>
        <w:rPr>
          <w:spacing w:val="-11"/>
        </w:rPr>
        <w:t> </w:t>
      </w:r>
      <w:r>
        <w:rPr/>
        <w:t>se</w:t>
      </w:r>
      <w:r>
        <w:rPr>
          <w:spacing w:val="-11"/>
        </w:rPr>
        <w:t> </w:t>
      </w:r>
      <w:r>
        <w:rPr/>
        <w:t>ha</w:t>
      </w:r>
      <w:r>
        <w:rPr>
          <w:spacing w:val="-10"/>
        </w:rPr>
        <w:t> </w:t>
      </w:r>
      <w:r>
        <w:rPr/>
        <w:t>cedido de manera sustancial los riesgos y beneficios inherentes a la propiedad del activo financiero cuando su exposición a la variación de los flujos de efectivo deje de ser significativa en relación con la variación total del valor actual de los flujos de efectivo futuros netos asociados con el activo financiero.</w:t>
      </w:r>
    </w:p>
    <w:p>
      <w:pPr>
        <w:pStyle w:val="BodyText"/>
      </w:pPr>
    </w:p>
    <w:p>
      <w:pPr>
        <w:pStyle w:val="BodyText"/>
        <w:spacing w:line="247" w:lineRule="auto"/>
        <w:ind w:left="2150" w:right="848"/>
        <w:jc w:val="both"/>
      </w:pPr>
      <w:r>
        <w:rPr/>
        <w:t>Si</w:t>
      </w:r>
      <w:r>
        <w:rPr>
          <w:spacing w:val="-14"/>
        </w:rPr>
        <w:t> </w:t>
      </w:r>
      <w:r>
        <w:rPr/>
        <w:t>la</w:t>
      </w:r>
      <w:r>
        <w:rPr>
          <w:spacing w:val="-14"/>
        </w:rPr>
        <w:t> </w:t>
      </w:r>
      <w:r>
        <w:rPr/>
        <w:t>Sociedad</w:t>
      </w:r>
      <w:r>
        <w:rPr>
          <w:spacing w:val="-14"/>
        </w:rPr>
        <w:t> </w:t>
      </w:r>
      <w:r>
        <w:rPr/>
        <w:t>no</w:t>
      </w:r>
      <w:r>
        <w:rPr>
          <w:spacing w:val="-13"/>
        </w:rPr>
        <w:t> </w:t>
      </w:r>
      <w:r>
        <w:rPr/>
        <w:t>ha</w:t>
      </w:r>
      <w:r>
        <w:rPr>
          <w:spacing w:val="-14"/>
        </w:rPr>
        <w:t> </w:t>
      </w:r>
      <w:r>
        <w:rPr/>
        <w:t>cedido</w:t>
      </w:r>
      <w:r>
        <w:rPr>
          <w:spacing w:val="-14"/>
        </w:rPr>
        <w:t> </w:t>
      </w:r>
      <w:r>
        <w:rPr/>
        <w:t>ni</w:t>
      </w:r>
      <w:r>
        <w:rPr>
          <w:spacing w:val="-14"/>
        </w:rPr>
        <w:t> </w:t>
      </w:r>
      <w:r>
        <w:rPr/>
        <w:t>retenido</w:t>
      </w:r>
      <w:r>
        <w:rPr>
          <w:spacing w:val="-13"/>
        </w:rPr>
        <w:t> </w:t>
      </w:r>
      <w:r>
        <w:rPr/>
        <w:t>sustancialmente</w:t>
      </w:r>
      <w:r>
        <w:rPr>
          <w:spacing w:val="-14"/>
        </w:rPr>
        <w:t> </w:t>
      </w:r>
      <w:r>
        <w:rPr/>
        <w:t>los</w:t>
      </w:r>
      <w:r>
        <w:rPr>
          <w:spacing w:val="-13"/>
        </w:rPr>
        <w:t> </w:t>
      </w:r>
      <w:r>
        <w:rPr/>
        <w:t>riesgos</w:t>
      </w:r>
      <w:r>
        <w:rPr>
          <w:spacing w:val="-14"/>
        </w:rPr>
        <w:t> </w:t>
      </w:r>
      <w:r>
        <w:rPr/>
        <w:t>y</w:t>
      </w:r>
      <w:r>
        <w:rPr>
          <w:spacing w:val="-14"/>
        </w:rPr>
        <w:t> </w:t>
      </w:r>
      <w:r>
        <w:rPr/>
        <w:t>beneficios</w:t>
      </w:r>
      <w:r>
        <w:rPr>
          <w:spacing w:val="-13"/>
        </w:rPr>
        <w:t> </w:t>
      </w:r>
      <w:r>
        <w:rPr/>
        <w:t>del</w:t>
      </w:r>
      <w:r>
        <w:rPr>
          <w:spacing w:val="-14"/>
        </w:rPr>
        <w:t> </w:t>
      </w:r>
      <w:r>
        <w:rPr/>
        <w:t>activo financiero, éste se da de baja cuando no</w:t>
      </w:r>
      <w:r>
        <w:rPr>
          <w:spacing w:val="-1"/>
        </w:rPr>
        <w:t> </w:t>
      </w:r>
      <w:r>
        <w:rPr/>
        <w:t>se retiene el control.</w:t>
      </w:r>
      <w:r>
        <w:rPr>
          <w:spacing w:val="-1"/>
        </w:rPr>
        <w:t> </w:t>
      </w:r>
      <w:r>
        <w:rPr/>
        <w:t>Si la Sociedad mantiene el control del activo, continúa reconociéndolo por el importe al que está expuesta por las variaciones de valor del activo cedido, es decir, por su implicación continuada, reconociendo el pasivo asociado.</w:t>
      </w:r>
    </w:p>
    <w:p>
      <w:pPr>
        <w:pStyle w:val="BodyText"/>
        <w:spacing w:before="4"/>
      </w:pPr>
    </w:p>
    <w:p>
      <w:pPr>
        <w:pStyle w:val="BodyText"/>
        <w:spacing w:line="247" w:lineRule="auto"/>
        <w:ind w:left="2150" w:right="853"/>
        <w:jc w:val="both"/>
      </w:pPr>
      <w:r>
        <w:rPr/>
        <w:t>La diferencia entre la contraprestación recibida neta de los costes de transacción atribuibles, considerando cualquier nuevo activo obtenido menos cualquier pasivo asumido, y el valor en libros del activo financiero transferido, más cualquier importe acumulado</w:t>
      </w:r>
      <w:r>
        <w:rPr>
          <w:spacing w:val="38"/>
        </w:rPr>
        <w:t> </w:t>
      </w:r>
      <w:r>
        <w:rPr/>
        <w:t>reconocido</w:t>
      </w:r>
      <w:r>
        <w:rPr>
          <w:spacing w:val="39"/>
        </w:rPr>
        <w:t> </w:t>
      </w:r>
      <w:r>
        <w:rPr/>
        <w:t>directamente</w:t>
      </w:r>
      <w:r>
        <w:rPr>
          <w:spacing w:val="38"/>
        </w:rPr>
        <w:t> </w:t>
      </w:r>
      <w:r>
        <w:rPr/>
        <w:t>en</w:t>
      </w:r>
      <w:r>
        <w:rPr>
          <w:spacing w:val="39"/>
        </w:rPr>
        <w:t> </w:t>
      </w:r>
      <w:r>
        <w:rPr/>
        <w:t>el</w:t>
      </w:r>
      <w:r>
        <w:rPr>
          <w:spacing w:val="38"/>
        </w:rPr>
        <w:t> </w:t>
      </w:r>
      <w:r>
        <w:rPr/>
        <w:t>patrimonio</w:t>
      </w:r>
      <w:r>
        <w:rPr>
          <w:spacing w:val="37"/>
        </w:rPr>
        <w:t> </w:t>
      </w:r>
      <w:r>
        <w:rPr/>
        <w:t>neto,</w:t>
      </w:r>
      <w:r>
        <w:rPr>
          <w:spacing w:val="37"/>
        </w:rPr>
        <w:t> </w:t>
      </w:r>
      <w:r>
        <w:rPr/>
        <w:t>determina</w:t>
      </w:r>
      <w:r>
        <w:rPr>
          <w:spacing w:val="38"/>
        </w:rPr>
        <w:t> </w:t>
      </w:r>
      <w:r>
        <w:rPr/>
        <w:t>la</w:t>
      </w:r>
      <w:r>
        <w:rPr>
          <w:spacing w:val="38"/>
        </w:rPr>
        <w:t> </w:t>
      </w:r>
      <w:r>
        <w:rPr/>
        <w:t>ganancia</w:t>
      </w:r>
      <w:r>
        <w:rPr>
          <w:spacing w:val="38"/>
        </w:rPr>
        <w:t> </w:t>
      </w:r>
      <w:r>
        <w:rPr>
          <w:spacing w:val="-10"/>
        </w:rPr>
        <w:t>o</w:t>
      </w:r>
    </w:p>
    <w:p>
      <w:pPr>
        <w:pStyle w:val="BodyText"/>
        <w:spacing w:after="0" w:line="247" w:lineRule="auto"/>
        <w:jc w:val="both"/>
        <w:sectPr>
          <w:pgSz w:w="11910" w:h="16840"/>
          <w:pgMar w:header="694" w:footer="690" w:top="1920" w:bottom="880" w:left="708" w:right="425"/>
        </w:sectPr>
      </w:pPr>
    </w:p>
    <w:p>
      <w:pPr>
        <w:pStyle w:val="BodyText"/>
        <w:spacing w:line="247" w:lineRule="auto" w:before="187"/>
        <w:ind w:left="2150" w:right="794"/>
      </w:pPr>
      <w:r>
        <w:rPr/>
        <w:t>pérdida</w:t>
      </w:r>
      <w:r>
        <w:rPr>
          <w:spacing w:val="-13"/>
        </w:rPr>
        <w:t> </w:t>
      </w:r>
      <w:r>
        <w:rPr/>
        <w:t>surgida</w:t>
      </w:r>
      <w:r>
        <w:rPr>
          <w:spacing w:val="-12"/>
        </w:rPr>
        <w:t> </w:t>
      </w:r>
      <w:r>
        <w:rPr/>
        <w:t>al</w:t>
      </w:r>
      <w:r>
        <w:rPr>
          <w:spacing w:val="-13"/>
        </w:rPr>
        <w:t> </w:t>
      </w:r>
      <w:r>
        <w:rPr/>
        <w:t>dar</w:t>
      </w:r>
      <w:r>
        <w:rPr>
          <w:spacing w:val="-14"/>
        </w:rPr>
        <w:t> </w:t>
      </w:r>
      <w:r>
        <w:rPr/>
        <w:t>de</w:t>
      </w:r>
      <w:r>
        <w:rPr>
          <w:spacing w:val="-11"/>
        </w:rPr>
        <w:t> </w:t>
      </w:r>
      <w:r>
        <w:rPr/>
        <w:t>baja</w:t>
      </w:r>
      <w:r>
        <w:rPr>
          <w:spacing w:val="-13"/>
        </w:rPr>
        <w:t> </w:t>
      </w:r>
      <w:r>
        <w:rPr/>
        <w:t>el</w:t>
      </w:r>
      <w:r>
        <w:rPr>
          <w:spacing w:val="-13"/>
        </w:rPr>
        <w:t> </w:t>
      </w:r>
      <w:r>
        <w:rPr/>
        <w:t>activo</w:t>
      </w:r>
      <w:r>
        <w:rPr>
          <w:spacing w:val="-12"/>
        </w:rPr>
        <w:t> </w:t>
      </w:r>
      <w:r>
        <w:rPr/>
        <w:t>financiero</w:t>
      </w:r>
      <w:r>
        <w:rPr>
          <w:spacing w:val="-12"/>
        </w:rPr>
        <w:t> </w:t>
      </w:r>
      <w:r>
        <w:rPr/>
        <w:t>y</w:t>
      </w:r>
      <w:r>
        <w:rPr>
          <w:spacing w:val="-13"/>
        </w:rPr>
        <w:t> </w:t>
      </w:r>
      <w:r>
        <w:rPr/>
        <w:t>forma</w:t>
      </w:r>
      <w:r>
        <w:rPr>
          <w:spacing w:val="-13"/>
        </w:rPr>
        <w:t> </w:t>
      </w:r>
      <w:r>
        <w:rPr/>
        <w:t>parte</w:t>
      </w:r>
      <w:r>
        <w:rPr>
          <w:spacing w:val="-12"/>
        </w:rPr>
        <w:t> </w:t>
      </w:r>
      <w:r>
        <w:rPr/>
        <w:t>del</w:t>
      </w:r>
      <w:r>
        <w:rPr>
          <w:spacing w:val="-12"/>
        </w:rPr>
        <w:t> </w:t>
      </w:r>
      <w:r>
        <w:rPr/>
        <w:t>resultado</w:t>
      </w:r>
      <w:r>
        <w:rPr>
          <w:spacing w:val="-12"/>
        </w:rPr>
        <w:t> </w:t>
      </w:r>
      <w:r>
        <w:rPr/>
        <w:t>del</w:t>
      </w:r>
      <w:r>
        <w:rPr>
          <w:spacing w:val="-12"/>
        </w:rPr>
        <w:t> </w:t>
      </w:r>
      <w:r>
        <w:rPr/>
        <w:t>ejercicio en que se produce.</w:t>
      </w:r>
    </w:p>
    <w:p>
      <w:pPr>
        <w:pStyle w:val="BodyText"/>
        <w:spacing w:before="2"/>
      </w:pPr>
    </w:p>
    <w:p>
      <w:pPr>
        <w:pStyle w:val="ListParagraph"/>
        <w:numPr>
          <w:ilvl w:val="1"/>
          <w:numId w:val="5"/>
        </w:numPr>
        <w:tabs>
          <w:tab w:pos="1674" w:val="left" w:leader="none"/>
        </w:tabs>
        <w:spacing w:line="240" w:lineRule="auto" w:before="0" w:after="0"/>
        <w:ind w:left="1674" w:right="0" w:hanging="396"/>
        <w:jc w:val="left"/>
        <w:rPr>
          <w:sz w:val="22"/>
        </w:rPr>
      </w:pPr>
      <w:r>
        <w:rPr>
          <w:sz w:val="22"/>
        </w:rPr>
        <w:t>Pasivos</w:t>
      </w:r>
      <w:r>
        <w:rPr>
          <w:spacing w:val="-10"/>
          <w:sz w:val="22"/>
        </w:rPr>
        <w:t> </w:t>
      </w:r>
      <w:r>
        <w:rPr>
          <w:spacing w:val="-2"/>
          <w:sz w:val="22"/>
        </w:rPr>
        <w:t>financieros</w:t>
      </w:r>
    </w:p>
    <w:p>
      <w:pPr>
        <w:pStyle w:val="BodyText"/>
        <w:spacing w:before="15"/>
      </w:pPr>
    </w:p>
    <w:p>
      <w:pPr>
        <w:pStyle w:val="BodyText"/>
        <w:spacing w:line="244" w:lineRule="auto"/>
        <w:ind w:left="1705" w:right="843"/>
        <w:jc w:val="both"/>
      </w:pPr>
      <w:r>
        <w:rPr/>
        <w:t>Se reconoce un pasivo</w:t>
      </w:r>
      <w:r>
        <w:rPr>
          <w:spacing w:val="-1"/>
        </w:rPr>
        <w:t> </w:t>
      </w:r>
      <w:r>
        <w:rPr/>
        <w:t>financiero en el balance</w:t>
      </w:r>
      <w:r>
        <w:rPr>
          <w:spacing w:val="-2"/>
        </w:rPr>
        <w:t> </w:t>
      </w:r>
      <w:r>
        <w:rPr/>
        <w:t>abreviado cuando</w:t>
      </w:r>
      <w:r>
        <w:rPr>
          <w:spacing w:val="-1"/>
        </w:rPr>
        <w:t> </w:t>
      </w:r>
      <w:r>
        <w:rPr/>
        <w:t>la Sociedad se convierte en una parte obligada del contrato o negocio jurídico conforme a las disposiciones de este.</w:t>
      </w:r>
    </w:p>
    <w:p>
      <w:pPr>
        <w:pStyle w:val="BodyText"/>
        <w:spacing w:before="9"/>
      </w:pPr>
    </w:p>
    <w:p>
      <w:pPr>
        <w:pStyle w:val="BodyText"/>
        <w:spacing w:line="247" w:lineRule="auto" w:before="1"/>
        <w:ind w:left="1702" w:right="851"/>
        <w:jc w:val="both"/>
      </w:pPr>
      <w:r>
        <w:rPr/>
        <w:t>En concreto, los instrumentos financieros emitidos se clasifican, en su totalidad o en parte, como un pasivo financiero, siempre que, de acuerdo con la realidad económica del mismo, suponga</w:t>
      </w:r>
      <w:r>
        <w:rPr>
          <w:spacing w:val="-1"/>
        </w:rPr>
        <w:t> </w:t>
      </w:r>
      <w:r>
        <w:rPr/>
        <w:t>para la</w:t>
      </w:r>
      <w:r>
        <w:rPr>
          <w:spacing w:val="-1"/>
        </w:rPr>
        <w:t> </w:t>
      </w:r>
      <w:r>
        <w:rPr/>
        <w:t>Sociedad</w:t>
      </w:r>
      <w:r>
        <w:rPr>
          <w:spacing w:val="-1"/>
        </w:rPr>
        <w:t> </w:t>
      </w:r>
      <w:r>
        <w:rPr/>
        <w:t>una</w:t>
      </w:r>
      <w:r>
        <w:rPr>
          <w:spacing w:val="-1"/>
        </w:rPr>
        <w:t> </w:t>
      </w:r>
      <w:r>
        <w:rPr/>
        <w:t>obligación contractual,</w:t>
      </w:r>
      <w:r>
        <w:rPr>
          <w:spacing w:val="-1"/>
        </w:rPr>
        <w:t> </w:t>
      </w:r>
      <w:r>
        <w:rPr/>
        <w:t>directa</w:t>
      </w:r>
      <w:r>
        <w:rPr>
          <w:spacing w:val="-1"/>
        </w:rPr>
        <w:t> </w:t>
      </w:r>
      <w:r>
        <w:rPr/>
        <w:t>o</w:t>
      </w:r>
      <w:r>
        <w:rPr>
          <w:spacing w:val="-4"/>
        </w:rPr>
        <w:t> </w:t>
      </w:r>
      <w:r>
        <w:rPr/>
        <w:t>indirecta, de</w:t>
      </w:r>
      <w:r>
        <w:rPr>
          <w:spacing w:val="-1"/>
        </w:rPr>
        <w:t> </w:t>
      </w:r>
      <w:r>
        <w:rPr/>
        <w:t>entregar efectivo u otro activo financiero o de intercambiar activos o pasivos financieros con terceros en condiciones desfavorables.</w:t>
      </w:r>
    </w:p>
    <w:p>
      <w:pPr>
        <w:pStyle w:val="BodyText"/>
        <w:spacing w:before="7"/>
      </w:pPr>
    </w:p>
    <w:p>
      <w:pPr>
        <w:pStyle w:val="BodyText"/>
        <w:spacing w:line="247" w:lineRule="auto"/>
        <w:ind w:left="1705" w:right="854"/>
        <w:jc w:val="both"/>
      </w:pPr>
      <w:r>
        <w:rPr/>
        <w:t>Los pasivos financieros, a efectos de su valoración, se incluirán en alguna de las siguientes </w:t>
      </w:r>
      <w:r>
        <w:rPr>
          <w:spacing w:val="-2"/>
        </w:rPr>
        <w:t>categorías:</w:t>
      </w:r>
    </w:p>
    <w:p>
      <w:pPr>
        <w:pStyle w:val="BodyText"/>
        <w:spacing w:before="10"/>
      </w:pPr>
    </w:p>
    <w:p>
      <w:pPr>
        <w:pStyle w:val="ListParagraph"/>
        <w:numPr>
          <w:ilvl w:val="0"/>
          <w:numId w:val="7"/>
        </w:numPr>
        <w:tabs>
          <w:tab w:pos="2425" w:val="left" w:leader="none"/>
        </w:tabs>
        <w:spacing w:line="240" w:lineRule="auto" w:before="0" w:after="0"/>
        <w:ind w:left="2425" w:right="0" w:hanging="360"/>
        <w:jc w:val="left"/>
        <w:rPr>
          <w:sz w:val="22"/>
        </w:rPr>
      </w:pPr>
      <w:r>
        <w:rPr>
          <w:sz w:val="22"/>
        </w:rPr>
        <w:t>Pasivos</w:t>
      </w:r>
      <w:r>
        <w:rPr>
          <w:spacing w:val="-9"/>
          <w:sz w:val="22"/>
        </w:rPr>
        <w:t> </w:t>
      </w:r>
      <w:r>
        <w:rPr>
          <w:sz w:val="22"/>
        </w:rPr>
        <w:t>financieros</w:t>
      </w:r>
      <w:r>
        <w:rPr>
          <w:spacing w:val="-8"/>
          <w:sz w:val="22"/>
        </w:rPr>
        <w:t> </w:t>
      </w:r>
      <w:r>
        <w:rPr>
          <w:sz w:val="22"/>
        </w:rPr>
        <w:t>a</w:t>
      </w:r>
      <w:r>
        <w:rPr>
          <w:spacing w:val="-8"/>
          <w:sz w:val="22"/>
        </w:rPr>
        <w:t> </w:t>
      </w:r>
      <w:r>
        <w:rPr>
          <w:sz w:val="22"/>
        </w:rPr>
        <w:t>coste</w:t>
      </w:r>
      <w:r>
        <w:rPr>
          <w:spacing w:val="-7"/>
          <w:sz w:val="22"/>
        </w:rPr>
        <w:t> </w:t>
      </w:r>
      <w:r>
        <w:rPr>
          <w:spacing w:val="-2"/>
          <w:sz w:val="22"/>
        </w:rPr>
        <w:t>amortizado.</w:t>
      </w:r>
    </w:p>
    <w:p>
      <w:pPr>
        <w:pStyle w:val="ListParagraph"/>
        <w:numPr>
          <w:ilvl w:val="0"/>
          <w:numId w:val="7"/>
        </w:numPr>
        <w:tabs>
          <w:tab w:pos="2425" w:val="left" w:leader="none"/>
        </w:tabs>
        <w:spacing w:line="244" w:lineRule="auto" w:before="9" w:after="0"/>
        <w:ind w:left="2425" w:right="854" w:hanging="360"/>
        <w:jc w:val="left"/>
        <w:rPr>
          <w:sz w:val="22"/>
        </w:rPr>
      </w:pPr>
      <w:r>
        <w:rPr>
          <w:sz w:val="22"/>
        </w:rPr>
        <w:t>Pasivos</w:t>
      </w:r>
      <w:r>
        <w:rPr>
          <w:spacing w:val="40"/>
          <w:sz w:val="22"/>
        </w:rPr>
        <w:t> </w:t>
      </w:r>
      <w:r>
        <w:rPr>
          <w:sz w:val="22"/>
        </w:rPr>
        <w:t>financieros</w:t>
      </w:r>
      <w:r>
        <w:rPr>
          <w:spacing w:val="40"/>
          <w:sz w:val="22"/>
        </w:rPr>
        <w:t> </w:t>
      </w:r>
      <w:r>
        <w:rPr>
          <w:sz w:val="22"/>
        </w:rPr>
        <w:t>a</w:t>
      </w:r>
      <w:r>
        <w:rPr>
          <w:spacing w:val="40"/>
          <w:sz w:val="22"/>
        </w:rPr>
        <w:t> </w:t>
      </w:r>
      <w:r>
        <w:rPr>
          <w:sz w:val="22"/>
        </w:rPr>
        <w:t>valor</w:t>
      </w:r>
      <w:r>
        <w:rPr>
          <w:spacing w:val="40"/>
          <w:sz w:val="22"/>
        </w:rPr>
        <w:t> </w:t>
      </w:r>
      <w:r>
        <w:rPr>
          <w:sz w:val="22"/>
        </w:rPr>
        <w:t>razonable</w:t>
      </w:r>
      <w:r>
        <w:rPr>
          <w:spacing w:val="40"/>
          <w:sz w:val="22"/>
        </w:rPr>
        <w:t> </w:t>
      </w:r>
      <w:r>
        <w:rPr>
          <w:sz w:val="22"/>
        </w:rPr>
        <w:t>con</w:t>
      </w:r>
      <w:r>
        <w:rPr>
          <w:spacing w:val="40"/>
          <w:sz w:val="22"/>
        </w:rPr>
        <w:t> </w:t>
      </w:r>
      <w:r>
        <w:rPr>
          <w:sz w:val="22"/>
        </w:rPr>
        <w:t>cambios</w:t>
      </w:r>
      <w:r>
        <w:rPr>
          <w:spacing w:val="40"/>
          <w:sz w:val="22"/>
        </w:rPr>
        <w:t> </w:t>
      </w:r>
      <w:r>
        <w:rPr>
          <w:sz w:val="22"/>
        </w:rPr>
        <w:t>en</w:t>
      </w:r>
      <w:r>
        <w:rPr>
          <w:spacing w:val="40"/>
          <w:sz w:val="22"/>
        </w:rPr>
        <w:t> </w:t>
      </w:r>
      <w:r>
        <w:rPr>
          <w:sz w:val="22"/>
        </w:rPr>
        <w:t>la</w:t>
      </w:r>
      <w:r>
        <w:rPr>
          <w:spacing w:val="40"/>
          <w:sz w:val="22"/>
        </w:rPr>
        <w:t> </w:t>
      </w:r>
      <w:r>
        <w:rPr>
          <w:sz w:val="22"/>
        </w:rPr>
        <w:t>cuenta</w:t>
      </w:r>
      <w:r>
        <w:rPr>
          <w:spacing w:val="40"/>
          <w:sz w:val="22"/>
        </w:rPr>
        <w:t> </w:t>
      </w:r>
      <w:r>
        <w:rPr>
          <w:sz w:val="22"/>
        </w:rPr>
        <w:t>de</w:t>
      </w:r>
      <w:r>
        <w:rPr>
          <w:spacing w:val="40"/>
          <w:sz w:val="22"/>
        </w:rPr>
        <w:t> </w:t>
      </w:r>
      <w:r>
        <w:rPr>
          <w:sz w:val="22"/>
        </w:rPr>
        <w:t>pérdidas</w:t>
      </w:r>
      <w:r>
        <w:rPr>
          <w:spacing w:val="40"/>
          <w:sz w:val="22"/>
        </w:rPr>
        <w:t> </w:t>
      </w:r>
      <w:r>
        <w:rPr>
          <w:sz w:val="22"/>
        </w:rPr>
        <w:t>y</w:t>
      </w:r>
      <w:r>
        <w:rPr>
          <w:spacing w:val="40"/>
          <w:sz w:val="22"/>
        </w:rPr>
        <w:t> </w:t>
      </w:r>
      <w:r>
        <w:rPr>
          <w:spacing w:val="-2"/>
          <w:sz w:val="22"/>
        </w:rPr>
        <w:t>ganancias.</w:t>
      </w:r>
    </w:p>
    <w:p>
      <w:pPr>
        <w:pStyle w:val="BodyText"/>
        <w:spacing w:before="13"/>
      </w:pPr>
    </w:p>
    <w:p>
      <w:pPr>
        <w:pStyle w:val="BodyText"/>
        <w:spacing w:line="247" w:lineRule="auto"/>
        <w:ind w:left="1705" w:right="853"/>
        <w:jc w:val="both"/>
      </w:pPr>
      <w:r>
        <w:rPr/>
        <w:t>Sin perjuicio de lo anterior, las aportaciones recibidas como consecuencia de un contrato de cuentas en participación y similares, se valorarán al coste, incrementado o disminuido por el beneficio o la pérdida, respectivamente, que deba atribuirse a los partícipes no gestores.</w:t>
      </w:r>
    </w:p>
    <w:p>
      <w:pPr>
        <w:pStyle w:val="BodyText"/>
        <w:spacing w:before="9"/>
      </w:pPr>
    </w:p>
    <w:p>
      <w:pPr>
        <w:pStyle w:val="BodyText"/>
        <w:spacing w:line="247" w:lineRule="auto" w:before="1"/>
        <w:ind w:left="1705" w:right="847"/>
        <w:jc w:val="both"/>
      </w:pPr>
      <w:r>
        <w:rPr/>
        <w:t>Se</w:t>
      </w:r>
      <w:r>
        <w:rPr>
          <w:spacing w:val="-8"/>
        </w:rPr>
        <w:t> </w:t>
      </w:r>
      <w:r>
        <w:rPr/>
        <w:t>aplicará</w:t>
      </w:r>
      <w:r>
        <w:rPr>
          <w:spacing w:val="-8"/>
        </w:rPr>
        <w:t> </w:t>
      </w:r>
      <w:r>
        <w:rPr/>
        <w:t>este</w:t>
      </w:r>
      <w:r>
        <w:rPr>
          <w:spacing w:val="-8"/>
        </w:rPr>
        <w:t> </w:t>
      </w:r>
      <w:r>
        <w:rPr/>
        <w:t>mismo</w:t>
      </w:r>
      <w:r>
        <w:rPr>
          <w:spacing w:val="-7"/>
        </w:rPr>
        <w:t> </w:t>
      </w:r>
      <w:r>
        <w:rPr/>
        <w:t>criterio</w:t>
      </w:r>
      <w:r>
        <w:rPr>
          <w:spacing w:val="-7"/>
        </w:rPr>
        <w:t> </w:t>
      </w:r>
      <w:r>
        <w:rPr/>
        <w:t>en</w:t>
      </w:r>
      <w:r>
        <w:rPr>
          <w:spacing w:val="-8"/>
        </w:rPr>
        <w:t> </w:t>
      </w:r>
      <w:r>
        <w:rPr/>
        <w:t>los</w:t>
      </w:r>
      <w:r>
        <w:rPr>
          <w:spacing w:val="-7"/>
        </w:rPr>
        <w:t> </w:t>
      </w:r>
      <w:r>
        <w:rPr/>
        <w:t>préstamos</w:t>
      </w:r>
      <w:r>
        <w:rPr>
          <w:spacing w:val="-8"/>
        </w:rPr>
        <w:t> </w:t>
      </w:r>
      <w:r>
        <w:rPr/>
        <w:t>participativos</w:t>
      </w:r>
      <w:r>
        <w:rPr>
          <w:spacing w:val="-7"/>
        </w:rPr>
        <w:t> </w:t>
      </w:r>
      <w:r>
        <w:rPr/>
        <w:t>cuyos</w:t>
      </w:r>
      <w:r>
        <w:rPr>
          <w:spacing w:val="-8"/>
        </w:rPr>
        <w:t> </w:t>
      </w:r>
      <w:r>
        <w:rPr/>
        <w:t>intereses</w:t>
      </w:r>
      <w:r>
        <w:rPr>
          <w:spacing w:val="-8"/>
        </w:rPr>
        <w:t> </w:t>
      </w:r>
      <w:r>
        <w:rPr/>
        <w:t>tengan</w:t>
      </w:r>
      <w:r>
        <w:rPr>
          <w:spacing w:val="-8"/>
        </w:rPr>
        <w:t> </w:t>
      </w:r>
      <w:r>
        <w:rPr/>
        <w:t>carácter contingente, bien porque se pacte un tipo de interés fijo o variable condicionado al cumplimiento de un hito en la empresa prestataria (por ejemplo, la obtención de beneficios), o bien porque se calculen exclusivamente por referencia a la evolución de la actividad de la citada</w:t>
      </w:r>
      <w:r>
        <w:rPr>
          <w:spacing w:val="-7"/>
        </w:rPr>
        <w:t> </w:t>
      </w:r>
      <w:r>
        <w:rPr/>
        <w:t>empresa.</w:t>
      </w:r>
      <w:r>
        <w:rPr>
          <w:spacing w:val="-7"/>
        </w:rPr>
        <w:t> </w:t>
      </w:r>
      <w:r>
        <w:rPr/>
        <w:t>Los</w:t>
      </w:r>
      <w:r>
        <w:rPr>
          <w:spacing w:val="-7"/>
        </w:rPr>
        <w:t> </w:t>
      </w:r>
      <w:r>
        <w:rPr/>
        <w:t>gastos</w:t>
      </w:r>
      <w:r>
        <w:rPr>
          <w:spacing w:val="-8"/>
        </w:rPr>
        <w:t> </w:t>
      </w:r>
      <w:r>
        <w:rPr/>
        <w:t>financieros</w:t>
      </w:r>
      <w:r>
        <w:rPr>
          <w:spacing w:val="-7"/>
        </w:rPr>
        <w:t> </w:t>
      </w:r>
      <w:r>
        <w:rPr/>
        <w:t>se</w:t>
      </w:r>
      <w:r>
        <w:rPr>
          <w:spacing w:val="-6"/>
        </w:rPr>
        <w:t> </w:t>
      </w:r>
      <w:r>
        <w:rPr/>
        <w:t>reconocerán</w:t>
      </w:r>
      <w:r>
        <w:rPr>
          <w:spacing w:val="-6"/>
        </w:rPr>
        <w:t> </w:t>
      </w:r>
      <w:r>
        <w:rPr/>
        <w:t>en</w:t>
      </w:r>
      <w:r>
        <w:rPr>
          <w:spacing w:val="-7"/>
        </w:rPr>
        <w:t> </w:t>
      </w:r>
      <w:r>
        <w:rPr/>
        <w:t>la</w:t>
      </w:r>
      <w:r>
        <w:rPr>
          <w:spacing w:val="-7"/>
        </w:rPr>
        <w:t> </w:t>
      </w:r>
      <w:r>
        <w:rPr/>
        <w:t>cuenta</w:t>
      </w:r>
      <w:r>
        <w:rPr>
          <w:spacing w:val="-7"/>
        </w:rPr>
        <w:t> </w:t>
      </w:r>
      <w:r>
        <w:rPr/>
        <w:t>de</w:t>
      </w:r>
      <w:r>
        <w:rPr>
          <w:spacing w:val="-8"/>
        </w:rPr>
        <w:t> </w:t>
      </w:r>
      <w:r>
        <w:rPr/>
        <w:t>pérdidas</w:t>
      </w:r>
      <w:r>
        <w:rPr>
          <w:spacing w:val="-7"/>
        </w:rPr>
        <w:t> </w:t>
      </w:r>
      <w:r>
        <w:rPr/>
        <w:t>y</w:t>
      </w:r>
      <w:r>
        <w:rPr>
          <w:spacing w:val="-8"/>
        </w:rPr>
        <w:t> </w:t>
      </w:r>
      <w:r>
        <w:rPr/>
        <w:t>ganancias</w:t>
      </w:r>
      <w:r>
        <w:rPr>
          <w:spacing w:val="-8"/>
        </w:rPr>
        <w:t> </w:t>
      </w:r>
      <w:r>
        <w:rPr/>
        <w:t>de acuerdo con el principio de devengo, y los costes de transacción se imputarán a la cuenta de pérdidas</w:t>
      </w:r>
      <w:r>
        <w:rPr>
          <w:spacing w:val="-3"/>
        </w:rPr>
        <w:t> </w:t>
      </w:r>
      <w:r>
        <w:rPr/>
        <w:t>y</w:t>
      </w:r>
      <w:r>
        <w:rPr>
          <w:spacing w:val="-2"/>
        </w:rPr>
        <w:t> </w:t>
      </w:r>
      <w:r>
        <w:rPr/>
        <w:t>ganancias</w:t>
      </w:r>
      <w:r>
        <w:rPr>
          <w:spacing w:val="-3"/>
        </w:rPr>
        <w:t> </w:t>
      </w:r>
      <w:r>
        <w:rPr/>
        <w:t>con</w:t>
      </w:r>
      <w:r>
        <w:rPr>
          <w:spacing w:val="-2"/>
        </w:rPr>
        <w:t> </w:t>
      </w:r>
      <w:r>
        <w:rPr/>
        <w:t>arreglo</w:t>
      </w:r>
      <w:r>
        <w:rPr>
          <w:spacing w:val="-2"/>
        </w:rPr>
        <w:t> </w:t>
      </w:r>
      <w:r>
        <w:rPr/>
        <w:t>a</w:t>
      </w:r>
      <w:r>
        <w:rPr>
          <w:spacing w:val="-3"/>
        </w:rPr>
        <w:t> </w:t>
      </w:r>
      <w:r>
        <w:rPr/>
        <w:t>un</w:t>
      </w:r>
      <w:r>
        <w:rPr>
          <w:spacing w:val="-2"/>
        </w:rPr>
        <w:t> </w:t>
      </w:r>
      <w:r>
        <w:rPr/>
        <w:t>criterio</w:t>
      </w:r>
      <w:r>
        <w:rPr>
          <w:spacing w:val="-2"/>
        </w:rPr>
        <w:t> </w:t>
      </w:r>
      <w:r>
        <w:rPr/>
        <w:t>financiero</w:t>
      </w:r>
      <w:r>
        <w:rPr>
          <w:spacing w:val="-2"/>
        </w:rPr>
        <w:t> </w:t>
      </w:r>
      <w:r>
        <w:rPr/>
        <w:t>o,</w:t>
      </w:r>
      <w:r>
        <w:rPr>
          <w:spacing w:val="-2"/>
        </w:rPr>
        <w:t> </w:t>
      </w:r>
      <w:r>
        <w:rPr/>
        <w:t>si</w:t>
      </w:r>
      <w:r>
        <w:rPr>
          <w:spacing w:val="-3"/>
        </w:rPr>
        <w:t> </w:t>
      </w:r>
      <w:r>
        <w:rPr/>
        <w:t>no</w:t>
      </w:r>
      <w:r>
        <w:rPr>
          <w:spacing w:val="-2"/>
        </w:rPr>
        <w:t> </w:t>
      </w:r>
      <w:r>
        <w:rPr/>
        <w:t>resultase</w:t>
      </w:r>
      <w:r>
        <w:rPr>
          <w:spacing w:val="-3"/>
        </w:rPr>
        <w:t> </w:t>
      </w:r>
      <w:r>
        <w:rPr/>
        <w:t>aplicable,</w:t>
      </w:r>
      <w:r>
        <w:rPr>
          <w:spacing w:val="-3"/>
        </w:rPr>
        <w:t> </w:t>
      </w:r>
      <w:r>
        <w:rPr/>
        <w:t>de</w:t>
      </w:r>
      <w:r>
        <w:rPr>
          <w:spacing w:val="-3"/>
        </w:rPr>
        <w:t> </w:t>
      </w:r>
      <w:r>
        <w:rPr/>
        <w:t>forma lineal a lo largo de la vida del préstamo participativo.</w:t>
      </w:r>
    </w:p>
    <w:p>
      <w:pPr>
        <w:pStyle w:val="BodyText"/>
        <w:spacing w:before="7"/>
      </w:pPr>
    </w:p>
    <w:p>
      <w:pPr>
        <w:pStyle w:val="BodyText"/>
        <w:spacing w:line="247" w:lineRule="auto"/>
        <w:ind w:left="1705" w:right="847"/>
        <w:jc w:val="both"/>
      </w:pPr>
      <w:r>
        <w:rPr/>
        <w:t>Adicionalmente, los pasivos financieros originados como consecuencia de transferencias de activos, en los que la empresa no haya cedido ni retenido sustancialmente sus riesgos y beneficios, se valorarán de manera consistente con el activo cedido en los términos previstos en el apartado e.1.2).</w:t>
      </w:r>
    </w:p>
    <w:p>
      <w:pPr>
        <w:pStyle w:val="BodyText"/>
        <w:spacing w:before="3"/>
      </w:pPr>
    </w:p>
    <w:p>
      <w:pPr>
        <w:pStyle w:val="ListParagraph"/>
        <w:numPr>
          <w:ilvl w:val="2"/>
          <w:numId w:val="5"/>
        </w:numPr>
        <w:tabs>
          <w:tab w:pos="2347" w:val="left" w:leader="none"/>
        </w:tabs>
        <w:spacing w:line="240" w:lineRule="auto" w:before="0" w:after="0"/>
        <w:ind w:left="2347" w:right="0" w:hanging="557"/>
        <w:jc w:val="left"/>
        <w:rPr>
          <w:sz w:val="22"/>
        </w:rPr>
      </w:pPr>
      <w:r>
        <w:rPr>
          <w:sz w:val="22"/>
        </w:rPr>
        <w:t>Pasivos</w:t>
      </w:r>
      <w:r>
        <w:rPr>
          <w:spacing w:val="-13"/>
          <w:sz w:val="22"/>
        </w:rPr>
        <w:t> </w:t>
      </w:r>
      <w:r>
        <w:rPr>
          <w:sz w:val="22"/>
        </w:rPr>
        <w:t>financieros</w:t>
      </w:r>
      <w:r>
        <w:rPr>
          <w:spacing w:val="-11"/>
          <w:sz w:val="22"/>
        </w:rPr>
        <w:t> </w:t>
      </w:r>
      <w:r>
        <w:rPr>
          <w:sz w:val="22"/>
        </w:rPr>
        <w:t>a</w:t>
      </w:r>
      <w:r>
        <w:rPr>
          <w:spacing w:val="-12"/>
          <w:sz w:val="22"/>
        </w:rPr>
        <w:t> </w:t>
      </w:r>
      <w:r>
        <w:rPr>
          <w:sz w:val="22"/>
        </w:rPr>
        <w:t>coste</w:t>
      </w:r>
      <w:r>
        <w:rPr>
          <w:spacing w:val="-9"/>
          <w:sz w:val="22"/>
        </w:rPr>
        <w:t> </w:t>
      </w:r>
      <w:r>
        <w:rPr>
          <w:spacing w:val="-2"/>
          <w:sz w:val="22"/>
        </w:rPr>
        <w:t>amortizado</w:t>
      </w:r>
    </w:p>
    <w:p>
      <w:pPr>
        <w:pStyle w:val="BodyText"/>
        <w:spacing w:before="13"/>
      </w:pPr>
    </w:p>
    <w:p>
      <w:pPr>
        <w:pStyle w:val="BodyText"/>
        <w:spacing w:line="247" w:lineRule="auto"/>
        <w:ind w:left="1705" w:right="855"/>
        <w:jc w:val="both"/>
      </w:pPr>
      <w:r>
        <w:rPr/>
        <w:t>Con carácter general, la Sociedad clasifica dentro de esta categoría a los siguientes pasivos </w:t>
      </w:r>
      <w:r>
        <w:rPr>
          <w:spacing w:val="-2"/>
        </w:rPr>
        <w:t>financieros:</w:t>
      </w:r>
    </w:p>
    <w:p>
      <w:pPr>
        <w:pStyle w:val="BodyText"/>
        <w:spacing w:before="6"/>
      </w:pPr>
    </w:p>
    <w:p>
      <w:pPr>
        <w:pStyle w:val="ListParagraph"/>
        <w:numPr>
          <w:ilvl w:val="0"/>
          <w:numId w:val="8"/>
        </w:numPr>
        <w:tabs>
          <w:tab w:pos="2150" w:val="left" w:leader="none"/>
        </w:tabs>
        <w:spacing w:line="247" w:lineRule="auto" w:before="0" w:after="0"/>
        <w:ind w:left="1705" w:right="854" w:firstLine="0"/>
        <w:jc w:val="both"/>
        <w:rPr>
          <w:sz w:val="22"/>
        </w:rPr>
      </w:pPr>
      <w:r>
        <w:rPr>
          <w:sz w:val="22"/>
        </w:rPr>
        <w:t>Débitos</w:t>
      </w:r>
      <w:r>
        <w:rPr>
          <w:spacing w:val="-13"/>
          <w:sz w:val="22"/>
        </w:rPr>
        <w:t> </w:t>
      </w:r>
      <w:r>
        <w:rPr>
          <w:sz w:val="22"/>
        </w:rPr>
        <w:t>por</w:t>
      </w:r>
      <w:r>
        <w:rPr>
          <w:spacing w:val="-13"/>
          <w:sz w:val="22"/>
        </w:rPr>
        <w:t> </w:t>
      </w:r>
      <w:r>
        <w:rPr>
          <w:sz w:val="22"/>
        </w:rPr>
        <w:t>operaciones</w:t>
      </w:r>
      <w:r>
        <w:rPr>
          <w:spacing w:val="-13"/>
          <w:sz w:val="22"/>
        </w:rPr>
        <w:t> </w:t>
      </w:r>
      <w:r>
        <w:rPr>
          <w:sz w:val="22"/>
        </w:rPr>
        <w:t>comerciales:</w:t>
      </w:r>
      <w:r>
        <w:rPr>
          <w:spacing w:val="-11"/>
          <w:sz w:val="22"/>
        </w:rPr>
        <w:t> </w:t>
      </w:r>
      <w:r>
        <w:rPr>
          <w:sz w:val="22"/>
        </w:rPr>
        <w:t>son</w:t>
      </w:r>
      <w:r>
        <w:rPr>
          <w:spacing w:val="-12"/>
          <w:sz w:val="22"/>
        </w:rPr>
        <w:t> </w:t>
      </w:r>
      <w:r>
        <w:rPr>
          <w:sz w:val="22"/>
        </w:rPr>
        <w:t>aquellos</w:t>
      </w:r>
      <w:r>
        <w:rPr>
          <w:spacing w:val="-12"/>
          <w:sz w:val="22"/>
        </w:rPr>
        <w:t> </w:t>
      </w:r>
      <w:r>
        <w:rPr>
          <w:sz w:val="22"/>
        </w:rPr>
        <w:t>pasivos</w:t>
      </w:r>
      <w:r>
        <w:rPr>
          <w:spacing w:val="-12"/>
          <w:sz w:val="22"/>
        </w:rPr>
        <w:t> </w:t>
      </w:r>
      <w:r>
        <w:rPr>
          <w:sz w:val="22"/>
        </w:rPr>
        <w:t>financieros</w:t>
      </w:r>
      <w:r>
        <w:rPr>
          <w:spacing w:val="-13"/>
          <w:sz w:val="22"/>
        </w:rPr>
        <w:t> </w:t>
      </w:r>
      <w:r>
        <w:rPr>
          <w:sz w:val="22"/>
        </w:rPr>
        <w:t>que</w:t>
      </w:r>
      <w:r>
        <w:rPr>
          <w:spacing w:val="-13"/>
          <w:sz w:val="22"/>
        </w:rPr>
        <w:t> </w:t>
      </w:r>
      <w:r>
        <w:rPr>
          <w:sz w:val="22"/>
        </w:rPr>
        <w:t>se</w:t>
      </w:r>
      <w:r>
        <w:rPr>
          <w:spacing w:val="-13"/>
          <w:sz w:val="22"/>
        </w:rPr>
        <w:t> </w:t>
      </w:r>
      <w:r>
        <w:rPr>
          <w:sz w:val="22"/>
        </w:rPr>
        <w:t>originan</w:t>
      </w:r>
      <w:r>
        <w:rPr>
          <w:spacing w:val="-12"/>
          <w:sz w:val="22"/>
        </w:rPr>
        <w:t> </w:t>
      </w:r>
      <w:r>
        <w:rPr>
          <w:sz w:val="22"/>
        </w:rPr>
        <w:t>en la compra de bienes y servicios por operaciones de tráfico con pago aplazado, y</w:t>
      </w:r>
    </w:p>
    <w:p>
      <w:pPr>
        <w:pStyle w:val="BodyText"/>
        <w:spacing w:before="5"/>
      </w:pPr>
    </w:p>
    <w:p>
      <w:pPr>
        <w:pStyle w:val="ListParagraph"/>
        <w:numPr>
          <w:ilvl w:val="0"/>
          <w:numId w:val="8"/>
        </w:numPr>
        <w:tabs>
          <w:tab w:pos="2150" w:val="left" w:leader="none"/>
        </w:tabs>
        <w:spacing w:line="247" w:lineRule="auto" w:before="1" w:after="0"/>
        <w:ind w:left="1702" w:right="848" w:firstLine="0"/>
        <w:jc w:val="both"/>
        <w:rPr>
          <w:sz w:val="22"/>
        </w:rPr>
      </w:pPr>
      <w:r>
        <w:rPr>
          <w:sz w:val="22"/>
        </w:rPr>
        <w:t>Débitos</w:t>
      </w:r>
      <w:r>
        <w:rPr>
          <w:spacing w:val="-11"/>
          <w:sz w:val="22"/>
        </w:rPr>
        <w:t> </w:t>
      </w:r>
      <w:r>
        <w:rPr>
          <w:sz w:val="22"/>
        </w:rPr>
        <w:t>por</w:t>
      </w:r>
      <w:r>
        <w:rPr>
          <w:spacing w:val="-10"/>
          <w:sz w:val="22"/>
        </w:rPr>
        <w:t> </w:t>
      </w:r>
      <w:r>
        <w:rPr>
          <w:sz w:val="22"/>
        </w:rPr>
        <w:t>operaciones</w:t>
      </w:r>
      <w:r>
        <w:rPr>
          <w:spacing w:val="-10"/>
          <w:sz w:val="22"/>
        </w:rPr>
        <w:t> </w:t>
      </w:r>
      <w:r>
        <w:rPr>
          <w:sz w:val="22"/>
        </w:rPr>
        <w:t>no</w:t>
      </w:r>
      <w:r>
        <w:rPr>
          <w:spacing w:val="-9"/>
          <w:sz w:val="22"/>
        </w:rPr>
        <w:t> </w:t>
      </w:r>
      <w:r>
        <w:rPr>
          <w:sz w:val="22"/>
        </w:rPr>
        <w:t>comerciales:</w:t>
      </w:r>
      <w:r>
        <w:rPr>
          <w:spacing w:val="-9"/>
          <w:sz w:val="22"/>
        </w:rPr>
        <w:t> </w:t>
      </w:r>
      <w:r>
        <w:rPr>
          <w:sz w:val="22"/>
        </w:rPr>
        <w:t>son</w:t>
      </w:r>
      <w:r>
        <w:rPr>
          <w:spacing w:val="-10"/>
          <w:sz w:val="22"/>
        </w:rPr>
        <w:t> </w:t>
      </w:r>
      <w:r>
        <w:rPr>
          <w:sz w:val="22"/>
        </w:rPr>
        <w:t>aquellos</w:t>
      </w:r>
      <w:r>
        <w:rPr>
          <w:spacing w:val="-11"/>
          <w:sz w:val="22"/>
        </w:rPr>
        <w:t> </w:t>
      </w:r>
      <w:r>
        <w:rPr>
          <w:sz w:val="22"/>
        </w:rPr>
        <w:t>pasivos</w:t>
      </w:r>
      <w:r>
        <w:rPr>
          <w:spacing w:val="-10"/>
          <w:sz w:val="22"/>
        </w:rPr>
        <w:t> </w:t>
      </w:r>
      <w:r>
        <w:rPr>
          <w:sz w:val="22"/>
        </w:rPr>
        <w:t>financieros</w:t>
      </w:r>
      <w:r>
        <w:rPr>
          <w:spacing w:val="-10"/>
          <w:sz w:val="22"/>
        </w:rPr>
        <w:t> </w:t>
      </w:r>
      <w:r>
        <w:rPr>
          <w:sz w:val="22"/>
        </w:rPr>
        <w:t>que,</w:t>
      </w:r>
      <w:r>
        <w:rPr>
          <w:spacing w:val="-10"/>
          <w:sz w:val="22"/>
        </w:rPr>
        <w:t> </w:t>
      </w:r>
      <w:r>
        <w:rPr>
          <w:sz w:val="22"/>
        </w:rPr>
        <w:t>no</w:t>
      </w:r>
      <w:r>
        <w:rPr>
          <w:spacing w:val="26"/>
          <w:sz w:val="22"/>
        </w:rPr>
        <w:t> </w:t>
      </w:r>
      <w:r>
        <w:rPr>
          <w:sz w:val="22"/>
        </w:rPr>
        <w:t>siendo instrumentos financieros derivados, no tienen origen comercial, sino que proceden de operaciones de préstamo o crédito recibidos por la Sociedad.</w:t>
      </w:r>
    </w:p>
    <w:p>
      <w:pPr>
        <w:pStyle w:val="ListParagraph"/>
        <w:spacing w:after="0" w:line="247" w:lineRule="auto"/>
        <w:jc w:val="both"/>
        <w:rPr>
          <w:sz w:val="22"/>
        </w:rPr>
        <w:sectPr>
          <w:pgSz w:w="11910" w:h="16840"/>
          <w:pgMar w:header="694" w:footer="690" w:top="1920" w:bottom="880" w:left="708" w:right="425"/>
        </w:sectPr>
      </w:pPr>
    </w:p>
    <w:p>
      <w:pPr>
        <w:pStyle w:val="BodyText"/>
        <w:spacing w:line="244" w:lineRule="auto" w:before="187"/>
        <w:ind w:left="1705" w:right="852"/>
        <w:jc w:val="both"/>
      </w:pPr>
      <w:r>
        <w:rPr>
          <w:spacing w:val="-2"/>
        </w:rPr>
        <w:t>Los</w:t>
      </w:r>
      <w:r>
        <w:rPr>
          <w:spacing w:val="-3"/>
        </w:rPr>
        <w:t> </w:t>
      </w:r>
      <w:r>
        <w:rPr>
          <w:spacing w:val="-2"/>
        </w:rPr>
        <w:t>préstamos</w:t>
      </w:r>
      <w:r>
        <w:rPr>
          <w:spacing w:val="-3"/>
        </w:rPr>
        <w:t> </w:t>
      </w:r>
      <w:r>
        <w:rPr>
          <w:spacing w:val="-2"/>
        </w:rPr>
        <w:t>participativos que</w:t>
      </w:r>
      <w:r>
        <w:rPr>
          <w:spacing w:val="-3"/>
        </w:rPr>
        <w:t> </w:t>
      </w:r>
      <w:r>
        <w:rPr>
          <w:spacing w:val="-2"/>
        </w:rPr>
        <w:t>tienen características</w:t>
      </w:r>
      <w:r>
        <w:rPr>
          <w:spacing w:val="-3"/>
        </w:rPr>
        <w:t> </w:t>
      </w:r>
      <w:r>
        <w:rPr>
          <w:spacing w:val="-2"/>
        </w:rPr>
        <w:t>de préstamo ordinario o común también </w:t>
      </w:r>
      <w:r>
        <w:rPr/>
        <w:t>se clasifican dentro de esta categoría.</w:t>
      </w:r>
    </w:p>
    <w:p>
      <w:pPr>
        <w:pStyle w:val="BodyText"/>
        <w:spacing w:before="8"/>
      </w:pPr>
    </w:p>
    <w:p>
      <w:pPr>
        <w:pStyle w:val="BodyText"/>
        <w:spacing w:line="244" w:lineRule="auto"/>
        <w:ind w:left="1705" w:right="854"/>
        <w:jc w:val="both"/>
      </w:pPr>
      <w:r>
        <w:rPr/>
        <w:t>Adicionalmente, se clasificarán dentro de esta categoría todos aquellos pasivos financieros, que</w:t>
      </w:r>
      <w:r>
        <w:rPr>
          <w:spacing w:val="-1"/>
        </w:rPr>
        <w:t> </w:t>
      </w:r>
      <w:r>
        <w:rPr/>
        <w:t>no</w:t>
      </w:r>
      <w:r>
        <w:rPr>
          <w:spacing w:val="-1"/>
        </w:rPr>
        <w:t> </w:t>
      </w:r>
      <w:r>
        <w:rPr/>
        <w:t>cumplan los</w:t>
      </w:r>
      <w:r>
        <w:rPr>
          <w:spacing w:val="-1"/>
        </w:rPr>
        <w:t> </w:t>
      </w:r>
      <w:r>
        <w:rPr/>
        <w:t>criterios</w:t>
      </w:r>
      <w:r>
        <w:rPr>
          <w:spacing w:val="-2"/>
        </w:rPr>
        <w:t> </w:t>
      </w:r>
      <w:r>
        <w:rPr/>
        <w:t>para</w:t>
      </w:r>
      <w:r>
        <w:rPr>
          <w:spacing w:val="-1"/>
        </w:rPr>
        <w:t> </w:t>
      </w:r>
      <w:r>
        <w:rPr/>
        <w:t>ser</w:t>
      </w:r>
      <w:r>
        <w:rPr>
          <w:spacing w:val="-1"/>
        </w:rPr>
        <w:t> </w:t>
      </w:r>
      <w:r>
        <w:rPr/>
        <w:t>clasificadas</w:t>
      </w:r>
      <w:r>
        <w:rPr>
          <w:spacing w:val="-1"/>
        </w:rPr>
        <w:t> </w:t>
      </w:r>
      <w:r>
        <w:rPr/>
        <w:t>como pasivos</w:t>
      </w:r>
      <w:r>
        <w:rPr>
          <w:spacing w:val="-1"/>
        </w:rPr>
        <w:t> </w:t>
      </w:r>
      <w:r>
        <w:rPr/>
        <w:t>financieros</w:t>
      </w:r>
      <w:r>
        <w:rPr>
          <w:spacing w:val="-1"/>
        </w:rPr>
        <w:t> </w:t>
      </w:r>
      <w:r>
        <w:rPr/>
        <w:t>a</w:t>
      </w:r>
      <w:r>
        <w:rPr>
          <w:spacing w:val="-1"/>
        </w:rPr>
        <w:t> </w:t>
      </w:r>
      <w:r>
        <w:rPr/>
        <w:t>valor</w:t>
      </w:r>
      <w:r>
        <w:rPr>
          <w:spacing w:val="-1"/>
        </w:rPr>
        <w:t> </w:t>
      </w:r>
      <w:r>
        <w:rPr/>
        <w:t>razonable con cambios en la cuenta de pérdidas y ganancias.</w:t>
      </w:r>
    </w:p>
    <w:p>
      <w:pPr>
        <w:pStyle w:val="BodyText"/>
        <w:spacing w:before="10"/>
      </w:pPr>
    </w:p>
    <w:p>
      <w:pPr>
        <w:pStyle w:val="BodyText"/>
        <w:spacing w:line="244" w:lineRule="auto"/>
        <w:ind w:left="1705" w:right="855"/>
        <w:jc w:val="both"/>
      </w:pPr>
      <w:r>
        <w:rPr/>
        <w:t>Los pasivos financieros a coste amortizado se valoran inicialmente al valor razonable de la contraprestación recibida, ajustada por los costes de la transacción directamente atribuibles.</w:t>
      </w:r>
    </w:p>
    <w:p>
      <w:pPr>
        <w:pStyle w:val="BodyText"/>
        <w:spacing w:before="10"/>
      </w:pPr>
    </w:p>
    <w:p>
      <w:pPr>
        <w:pStyle w:val="BodyText"/>
        <w:spacing w:line="247" w:lineRule="auto"/>
        <w:ind w:left="1705" w:right="845"/>
        <w:jc w:val="both"/>
      </w:pPr>
      <w:r>
        <w:rPr/>
        <w:t>No</w:t>
      </w:r>
      <w:r>
        <w:rPr>
          <w:spacing w:val="-9"/>
        </w:rPr>
        <w:t> </w:t>
      </w:r>
      <w:r>
        <w:rPr/>
        <w:t>obstante,</w:t>
      </w:r>
      <w:r>
        <w:rPr>
          <w:spacing w:val="-9"/>
        </w:rPr>
        <w:t> </w:t>
      </w:r>
      <w:r>
        <w:rPr/>
        <w:t>lo</w:t>
      </w:r>
      <w:r>
        <w:rPr>
          <w:spacing w:val="-9"/>
        </w:rPr>
        <w:t> </w:t>
      </w:r>
      <w:r>
        <w:rPr/>
        <w:t>anterior,</w:t>
      </w:r>
      <w:r>
        <w:rPr>
          <w:spacing w:val="-9"/>
        </w:rPr>
        <w:t> </w:t>
      </w:r>
      <w:r>
        <w:rPr/>
        <w:t>los</w:t>
      </w:r>
      <w:r>
        <w:rPr>
          <w:spacing w:val="-11"/>
        </w:rPr>
        <w:t> </w:t>
      </w:r>
      <w:r>
        <w:rPr/>
        <w:t>débitos</w:t>
      </w:r>
      <w:r>
        <w:rPr>
          <w:spacing w:val="-10"/>
        </w:rPr>
        <w:t> </w:t>
      </w:r>
      <w:r>
        <w:rPr/>
        <w:t>por</w:t>
      </w:r>
      <w:r>
        <w:rPr>
          <w:spacing w:val="-10"/>
        </w:rPr>
        <w:t> </w:t>
      </w:r>
      <w:r>
        <w:rPr/>
        <w:t>operaciones</w:t>
      </w:r>
      <w:r>
        <w:rPr>
          <w:spacing w:val="-9"/>
        </w:rPr>
        <w:t> </w:t>
      </w:r>
      <w:r>
        <w:rPr/>
        <w:t>comerciales</w:t>
      </w:r>
      <w:r>
        <w:rPr>
          <w:spacing w:val="-9"/>
        </w:rPr>
        <w:t> </w:t>
      </w:r>
      <w:r>
        <w:rPr/>
        <w:t>con</w:t>
      </w:r>
      <w:r>
        <w:rPr>
          <w:spacing w:val="-9"/>
        </w:rPr>
        <w:t> </w:t>
      </w:r>
      <w:r>
        <w:rPr/>
        <w:t>vencimiento</w:t>
      </w:r>
      <w:r>
        <w:rPr>
          <w:spacing w:val="-9"/>
        </w:rPr>
        <w:t> </w:t>
      </w:r>
      <w:r>
        <w:rPr/>
        <w:t>no</w:t>
      </w:r>
      <w:r>
        <w:rPr>
          <w:spacing w:val="28"/>
        </w:rPr>
        <w:t> </w:t>
      </w:r>
      <w:r>
        <w:rPr/>
        <w:t>superior a un año y que no tengan un tipo de interés contractual, así como los desembolsos exigidos por</w:t>
      </w:r>
      <w:r>
        <w:rPr>
          <w:spacing w:val="-2"/>
        </w:rPr>
        <w:t> </w:t>
      </w:r>
      <w:r>
        <w:rPr/>
        <w:t>terceros</w:t>
      </w:r>
      <w:r>
        <w:rPr>
          <w:spacing w:val="-3"/>
        </w:rPr>
        <w:t> </w:t>
      </w:r>
      <w:r>
        <w:rPr/>
        <w:t>sobre</w:t>
      </w:r>
      <w:r>
        <w:rPr>
          <w:spacing w:val="-2"/>
        </w:rPr>
        <w:t> </w:t>
      </w:r>
      <w:r>
        <w:rPr/>
        <w:t>participaciones,</w:t>
      </w:r>
      <w:r>
        <w:rPr>
          <w:spacing w:val="-2"/>
        </w:rPr>
        <w:t> </w:t>
      </w:r>
      <w:r>
        <w:rPr/>
        <w:t>cuyo</w:t>
      </w:r>
      <w:r>
        <w:rPr>
          <w:spacing w:val="-2"/>
        </w:rPr>
        <w:t> </w:t>
      </w:r>
      <w:r>
        <w:rPr/>
        <w:t>importe</w:t>
      </w:r>
      <w:r>
        <w:rPr>
          <w:spacing w:val="-2"/>
        </w:rPr>
        <w:t> </w:t>
      </w:r>
      <w:r>
        <w:rPr/>
        <w:t>se</w:t>
      </w:r>
      <w:r>
        <w:rPr>
          <w:spacing w:val="-2"/>
        </w:rPr>
        <w:t> </w:t>
      </w:r>
      <w:r>
        <w:rPr/>
        <w:t>espera</w:t>
      </w:r>
      <w:r>
        <w:rPr>
          <w:spacing w:val="-3"/>
        </w:rPr>
        <w:t> </w:t>
      </w:r>
      <w:r>
        <w:rPr/>
        <w:t>pagar</w:t>
      </w:r>
      <w:r>
        <w:rPr>
          <w:spacing w:val="-2"/>
        </w:rPr>
        <w:t> </w:t>
      </w:r>
      <w:r>
        <w:rPr/>
        <w:t>en</w:t>
      </w:r>
      <w:r>
        <w:rPr>
          <w:spacing w:val="-1"/>
        </w:rPr>
        <w:t> </w:t>
      </w:r>
      <w:r>
        <w:rPr/>
        <w:t>el</w:t>
      </w:r>
      <w:r>
        <w:rPr>
          <w:spacing w:val="-2"/>
        </w:rPr>
        <w:t> </w:t>
      </w:r>
      <w:r>
        <w:rPr/>
        <w:t>corto</w:t>
      </w:r>
      <w:r>
        <w:rPr>
          <w:spacing w:val="-1"/>
        </w:rPr>
        <w:t> </w:t>
      </w:r>
      <w:r>
        <w:rPr/>
        <w:t>plazo,</w:t>
      </w:r>
      <w:r>
        <w:rPr>
          <w:spacing w:val="40"/>
        </w:rPr>
        <w:t> </w:t>
      </w:r>
      <w:r>
        <w:rPr/>
        <w:t>se</w:t>
      </w:r>
      <w:r>
        <w:rPr>
          <w:spacing w:val="-3"/>
        </w:rPr>
        <w:t> </w:t>
      </w:r>
      <w:r>
        <w:rPr/>
        <w:t>valoran inicialmente por su valor nominal, siempre y cuando el efecto de no actualizar los flujos de efectivo no sea significativo.</w:t>
      </w:r>
    </w:p>
    <w:p>
      <w:pPr>
        <w:pStyle w:val="BodyText"/>
        <w:spacing w:before="2"/>
      </w:pPr>
    </w:p>
    <w:p>
      <w:pPr>
        <w:pStyle w:val="BodyText"/>
        <w:spacing w:line="247" w:lineRule="auto" w:before="1"/>
        <w:ind w:left="1705" w:right="850"/>
        <w:jc w:val="both"/>
      </w:pPr>
      <w:r>
        <w:rPr/>
        <w:t>Con posterioridad, se valoran por su coste amortizado, empleando para ello el tipo de interés efectivo. Aquellos que, de acuerdo con lo comentado en el párrafo anterior, se valoran inicialmente por su valor nominal, continúan valorándose por dicho importe.</w:t>
      </w:r>
    </w:p>
    <w:p>
      <w:pPr>
        <w:pStyle w:val="BodyText"/>
        <w:spacing w:before="6"/>
      </w:pPr>
    </w:p>
    <w:p>
      <w:pPr>
        <w:pStyle w:val="ListParagraph"/>
        <w:numPr>
          <w:ilvl w:val="2"/>
          <w:numId w:val="5"/>
        </w:numPr>
        <w:tabs>
          <w:tab w:pos="2347" w:val="left" w:leader="none"/>
        </w:tabs>
        <w:spacing w:line="240" w:lineRule="auto" w:before="0" w:after="0"/>
        <w:ind w:left="2347" w:right="0" w:hanging="557"/>
        <w:jc w:val="left"/>
        <w:rPr>
          <w:sz w:val="22"/>
        </w:rPr>
      </w:pPr>
      <w:r>
        <w:rPr>
          <w:sz w:val="22"/>
        </w:rPr>
        <w:t>Pasivos</w:t>
      </w:r>
      <w:r>
        <w:rPr>
          <w:spacing w:val="-7"/>
          <w:sz w:val="22"/>
        </w:rPr>
        <w:t> </w:t>
      </w:r>
      <w:r>
        <w:rPr>
          <w:sz w:val="22"/>
        </w:rPr>
        <w:t>financieros</w:t>
      </w:r>
      <w:r>
        <w:rPr>
          <w:spacing w:val="-7"/>
          <w:sz w:val="22"/>
        </w:rPr>
        <w:t> </w:t>
      </w:r>
      <w:r>
        <w:rPr>
          <w:sz w:val="22"/>
        </w:rPr>
        <w:t>a</w:t>
      </w:r>
      <w:r>
        <w:rPr>
          <w:spacing w:val="-6"/>
          <w:sz w:val="22"/>
        </w:rPr>
        <w:t> </w:t>
      </w:r>
      <w:r>
        <w:rPr>
          <w:sz w:val="22"/>
        </w:rPr>
        <w:t>valor</w:t>
      </w:r>
      <w:r>
        <w:rPr>
          <w:spacing w:val="-6"/>
          <w:sz w:val="22"/>
        </w:rPr>
        <w:t> </w:t>
      </w:r>
      <w:r>
        <w:rPr>
          <w:sz w:val="22"/>
        </w:rPr>
        <w:t>razonable</w:t>
      </w:r>
      <w:r>
        <w:rPr>
          <w:spacing w:val="-6"/>
          <w:sz w:val="22"/>
        </w:rPr>
        <w:t> </w:t>
      </w:r>
      <w:r>
        <w:rPr>
          <w:sz w:val="22"/>
        </w:rPr>
        <w:t>con</w:t>
      </w:r>
      <w:r>
        <w:rPr>
          <w:spacing w:val="-6"/>
          <w:sz w:val="22"/>
        </w:rPr>
        <w:t> </w:t>
      </w:r>
      <w:r>
        <w:rPr>
          <w:sz w:val="22"/>
        </w:rPr>
        <w:t>cambios</w:t>
      </w:r>
      <w:r>
        <w:rPr>
          <w:spacing w:val="-5"/>
          <w:sz w:val="22"/>
        </w:rPr>
        <w:t> </w:t>
      </w:r>
      <w:r>
        <w:rPr>
          <w:sz w:val="22"/>
        </w:rPr>
        <w:t>en</w:t>
      </w:r>
      <w:r>
        <w:rPr>
          <w:spacing w:val="-7"/>
          <w:sz w:val="22"/>
        </w:rPr>
        <w:t> </w:t>
      </w:r>
      <w:r>
        <w:rPr>
          <w:sz w:val="22"/>
        </w:rPr>
        <w:t>la</w:t>
      </w:r>
      <w:r>
        <w:rPr>
          <w:spacing w:val="-6"/>
          <w:sz w:val="22"/>
        </w:rPr>
        <w:t> </w:t>
      </w:r>
      <w:r>
        <w:rPr>
          <w:sz w:val="22"/>
        </w:rPr>
        <w:t>cuenta</w:t>
      </w:r>
      <w:r>
        <w:rPr>
          <w:spacing w:val="-7"/>
          <w:sz w:val="22"/>
        </w:rPr>
        <w:t> </w:t>
      </w:r>
      <w:r>
        <w:rPr>
          <w:sz w:val="22"/>
        </w:rPr>
        <w:t>de</w:t>
      </w:r>
      <w:r>
        <w:rPr>
          <w:spacing w:val="-6"/>
          <w:sz w:val="22"/>
        </w:rPr>
        <w:t> </w:t>
      </w:r>
      <w:r>
        <w:rPr>
          <w:sz w:val="22"/>
        </w:rPr>
        <w:t>pérdidas</w:t>
      </w:r>
      <w:r>
        <w:rPr>
          <w:spacing w:val="-7"/>
          <w:sz w:val="22"/>
        </w:rPr>
        <w:t> </w:t>
      </w:r>
      <w:r>
        <w:rPr>
          <w:sz w:val="22"/>
        </w:rPr>
        <w:t>y</w:t>
      </w:r>
      <w:r>
        <w:rPr>
          <w:spacing w:val="-6"/>
          <w:sz w:val="22"/>
        </w:rPr>
        <w:t> </w:t>
      </w:r>
      <w:r>
        <w:rPr>
          <w:spacing w:val="-2"/>
          <w:sz w:val="22"/>
        </w:rPr>
        <w:t>ganancias</w:t>
      </w:r>
    </w:p>
    <w:p>
      <w:pPr>
        <w:pStyle w:val="BodyText"/>
      </w:pPr>
    </w:p>
    <w:p>
      <w:pPr>
        <w:pStyle w:val="BodyText"/>
        <w:spacing w:line="247" w:lineRule="auto"/>
        <w:ind w:left="1705" w:right="853"/>
        <w:jc w:val="both"/>
      </w:pPr>
      <w:r>
        <w:rPr/>
        <w:t>La Sociedad no tiene pasivos a valor razonable con cambios en la cuenta de pérdidas y ganancias en el ejercicio 2025. Tampoco en el ejercicio 2024.</w:t>
      </w:r>
    </w:p>
    <w:p>
      <w:pPr>
        <w:pStyle w:val="BodyText"/>
        <w:spacing w:before="5"/>
      </w:pPr>
    </w:p>
    <w:p>
      <w:pPr>
        <w:pStyle w:val="ListParagraph"/>
        <w:numPr>
          <w:ilvl w:val="2"/>
          <w:numId w:val="5"/>
        </w:numPr>
        <w:tabs>
          <w:tab w:pos="2347" w:val="left" w:leader="none"/>
        </w:tabs>
        <w:spacing w:line="240" w:lineRule="auto" w:before="0" w:after="0"/>
        <w:ind w:left="2347" w:right="0" w:hanging="557"/>
        <w:jc w:val="left"/>
        <w:rPr>
          <w:sz w:val="22"/>
        </w:rPr>
      </w:pPr>
      <w:r>
        <w:rPr>
          <w:sz w:val="22"/>
        </w:rPr>
        <w:t>Baja</w:t>
      </w:r>
      <w:r>
        <w:rPr>
          <w:spacing w:val="-11"/>
          <w:sz w:val="22"/>
        </w:rPr>
        <w:t> </w:t>
      </w:r>
      <w:r>
        <w:rPr>
          <w:sz w:val="22"/>
        </w:rPr>
        <w:t>de</w:t>
      </w:r>
      <w:r>
        <w:rPr>
          <w:spacing w:val="-7"/>
          <w:sz w:val="22"/>
        </w:rPr>
        <w:t> </w:t>
      </w:r>
      <w:r>
        <w:rPr>
          <w:sz w:val="22"/>
        </w:rPr>
        <w:t>pasivos</w:t>
      </w:r>
      <w:r>
        <w:rPr>
          <w:spacing w:val="-7"/>
          <w:sz w:val="22"/>
        </w:rPr>
        <w:t> </w:t>
      </w:r>
      <w:r>
        <w:rPr>
          <w:spacing w:val="-2"/>
          <w:sz w:val="22"/>
        </w:rPr>
        <w:t>financieros</w:t>
      </w:r>
    </w:p>
    <w:p>
      <w:pPr>
        <w:pStyle w:val="BodyText"/>
        <w:spacing w:before="15"/>
      </w:pPr>
    </w:p>
    <w:p>
      <w:pPr>
        <w:pStyle w:val="BodyText"/>
        <w:ind w:left="1705"/>
        <w:jc w:val="both"/>
      </w:pPr>
      <w:r>
        <w:rPr/>
        <w:t>La</w:t>
      </w:r>
      <w:r>
        <w:rPr>
          <w:spacing w:val="-9"/>
        </w:rPr>
        <w:t> </w:t>
      </w:r>
      <w:r>
        <w:rPr/>
        <w:t>Sociedad</w:t>
      </w:r>
      <w:r>
        <w:rPr>
          <w:spacing w:val="-8"/>
        </w:rPr>
        <w:t> </w:t>
      </w:r>
      <w:r>
        <w:rPr/>
        <w:t>da</w:t>
      </w:r>
      <w:r>
        <w:rPr>
          <w:spacing w:val="-8"/>
        </w:rPr>
        <w:t> </w:t>
      </w:r>
      <w:r>
        <w:rPr/>
        <w:t>de</w:t>
      </w:r>
      <w:r>
        <w:rPr>
          <w:spacing w:val="-8"/>
        </w:rPr>
        <w:t> </w:t>
      </w:r>
      <w:r>
        <w:rPr/>
        <w:t>baja</w:t>
      </w:r>
      <w:r>
        <w:rPr>
          <w:spacing w:val="-8"/>
        </w:rPr>
        <w:t> </w:t>
      </w:r>
      <w:r>
        <w:rPr/>
        <w:t>un</w:t>
      </w:r>
      <w:r>
        <w:rPr>
          <w:spacing w:val="-7"/>
        </w:rPr>
        <w:t> </w:t>
      </w:r>
      <w:r>
        <w:rPr/>
        <w:t>pasivo</w:t>
      </w:r>
      <w:r>
        <w:rPr>
          <w:spacing w:val="-5"/>
        </w:rPr>
        <w:t> </w:t>
      </w:r>
      <w:r>
        <w:rPr/>
        <w:t>financiero</w:t>
      </w:r>
      <w:r>
        <w:rPr>
          <w:spacing w:val="-8"/>
        </w:rPr>
        <w:t> </w:t>
      </w:r>
      <w:r>
        <w:rPr/>
        <w:t>cuando</w:t>
      </w:r>
      <w:r>
        <w:rPr>
          <w:spacing w:val="-7"/>
        </w:rPr>
        <w:t> </w:t>
      </w:r>
      <w:r>
        <w:rPr/>
        <w:t>la</w:t>
      </w:r>
      <w:r>
        <w:rPr>
          <w:spacing w:val="-8"/>
        </w:rPr>
        <w:t> </w:t>
      </w:r>
      <w:r>
        <w:rPr/>
        <w:t>obligación</w:t>
      </w:r>
      <w:r>
        <w:rPr>
          <w:spacing w:val="-8"/>
        </w:rPr>
        <w:t> </w:t>
      </w:r>
      <w:r>
        <w:rPr/>
        <w:t>se</w:t>
      </w:r>
      <w:r>
        <w:rPr>
          <w:spacing w:val="-6"/>
        </w:rPr>
        <w:t> </w:t>
      </w:r>
      <w:r>
        <w:rPr/>
        <w:t>ha</w:t>
      </w:r>
      <w:r>
        <w:rPr>
          <w:spacing w:val="-9"/>
        </w:rPr>
        <w:t> </w:t>
      </w:r>
      <w:r>
        <w:rPr>
          <w:spacing w:val="-2"/>
        </w:rPr>
        <w:t>extinguido.</w:t>
      </w:r>
    </w:p>
    <w:p>
      <w:pPr>
        <w:pStyle w:val="BodyText"/>
        <w:spacing w:before="14"/>
      </w:pPr>
    </w:p>
    <w:p>
      <w:pPr>
        <w:pStyle w:val="ListParagraph"/>
        <w:numPr>
          <w:ilvl w:val="0"/>
          <w:numId w:val="5"/>
        </w:numPr>
        <w:tabs>
          <w:tab w:pos="1276" w:val="left" w:leader="none"/>
        </w:tabs>
        <w:spacing w:line="240" w:lineRule="auto" w:before="1" w:after="0"/>
        <w:ind w:left="1276" w:right="0" w:hanging="281"/>
        <w:jc w:val="left"/>
        <w:rPr>
          <w:sz w:val="22"/>
        </w:rPr>
      </w:pPr>
      <w:r>
        <w:rPr>
          <w:spacing w:val="-2"/>
          <w:sz w:val="22"/>
        </w:rPr>
        <w:t>Existencias</w:t>
      </w:r>
    </w:p>
    <w:p>
      <w:pPr>
        <w:pStyle w:val="BodyText"/>
        <w:spacing w:before="12"/>
      </w:pPr>
    </w:p>
    <w:p>
      <w:pPr>
        <w:pStyle w:val="BodyText"/>
        <w:spacing w:line="247" w:lineRule="auto"/>
        <w:ind w:left="1278" w:right="857"/>
        <w:jc w:val="both"/>
      </w:pPr>
      <w:r>
        <w:rPr/>
        <w:t>Las existencias se valoran a su precio de adquisición, coste de producción o valor neto realizable, el menor.</w:t>
      </w:r>
    </w:p>
    <w:p>
      <w:pPr>
        <w:pStyle w:val="BodyText"/>
        <w:spacing w:before="6"/>
      </w:pPr>
    </w:p>
    <w:p>
      <w:pPr>
        <w:pStyle w:val="BodyText"/>
        <w:spacing w:line="247" w:lineRule="auto"/>
        <w:ind w:left="1278" w:right="848"/>
        <w:jc w:val="both"/>
      </w:pPr>
      <w:r>
        <w:rPr/>
        <w:t>Los descuentos comerciales, las rebajas obtenidas, otras partidas similares y los intereses incorporados al nominal de los débitos se deducen en la determinación del precio de adquisición. No</w:t>
      </w:r>
      <w:r>
        <w:rPr>
          <w:spacing w:val="-5"/>
        </w:rPr>
        <w:t> </w:t>
      </w:r>
      <w:r>
        <w:rPr/>
        <w:t>obstante,</w:t>
      </w:r>
      <w:r>
        <w:rPr>
          <w:spacing w:val="-6"/>
        </w:rPr>
        <w:t> </w:t>
      </w:r>
      <w:r>
        <w:rPr/>
        <w:t>se</w:t>
      </w:r>
      <w:r>
        <w:rPr>
          <w:spacing w:val="-6"/>
        </w:rPr>
        <w:t> </w:t>
      </w:r>
      <w:r>
        <w:rPr/>
        <w:t>incluyen</w:t>
      </w:r>
      <w:r>
        <w:rPr>
          <w:spacing w:val="-5"/>
        </w:rPr>
        <w:t> </w:t>
      </w:r>
      <w:r>
        <w:rPr/>
        <w:t>los</w:t>
      </w:r>
      <w:r>
        <w:rPr>
          <w:spacing w:val="-6"/>
        </w:rPr>
        <w:t> </w:t>
      </w:r>
      <w:r>
        <w:rPr/>
        <w:t>intereses</w:t>
      </w:r>
      <w:r>
        <w:rPr>
          <w:spacing w:val="-6"/>
        </w:rPr>
        <w:t> </w:t>
      </w:r>
      <w:r>
        <w:rPr/>
        <w:t>incorporados</w:t>
      </w:r>
      <w:r>
        <w:rPr>
          <w:spacing w:val="-6"/>
        </w:rPr>
        <w:t> </w:t>
      </w:r>
      <w:r>
        <w:rPr/>
        <w:t>a</w:t>
      </w:r>
      <w:r>
        <w:rPr>
          <w:spacing w:val="-7"/>
        </w:rPr>
        <w:t> </w:t>
      </w:r>
      <w:r>
        <w:rPr/>
        <w:t>los</w:t>
      </w:r>
      <w:r>
        <w:rPr>
          <w:spacing w:val="-6"/>
        </w:rPr>
        <w:t> </w:t>
      </w:r>
      <w:r>
        <w:rPr/>
        <w:t>débitos</w:t>
      </w:r>
      <w:r>
        <w:rPr>
          <w:spacing w:val="-6"/>
        </w:rPr>
        <w:t> </w:t>
      </w:r>
      <w:r>
        <w:rPr/>
        <w:t>con</w:t>
      </w:r>
      <w:r>
        <w:rPr>
          <w:spacing w:val="-6"/>
        </w:rPr>
        <w:t> </w:t>
      </w:r>
      <w:r>
        <w:rPr/>
        <w:t>vencimiento</w:t>
      </w:r>
      <w:r>
        <w:rPr>
          <w:spacing w:val="-5"/>
        </w:rPr>
        <w:t> </w:t>
      </w:r>
      <w:r>
        <w:rPr/>
        <w:t>no</w:t>
      </w:r>
      <w:r>
        <w:rPr>
          <w:spacing w:val="-6"/>
        </w:rPr>
        <w:t> </w:t>
      </w:r>
      <w:r>
        <w:rPr/>
        <w:t>superior</w:t>
      </w:r>
      <w:r>
        <w:rPr>
          <w:spacing w:val="-8"/>
        </w:rPr>
        <w:t> </w:t>
      </w:r>
      <w:r>
        <w:rPr/>
        <w:t>a</w:t>
      </w:r>
      <w:r>
        <w:rPr>
          <w:spacing w:val="32"/>
        </w:rPr>
        <w:t> </w:t>
      </w:r>
      <w:r>
        <w:rPr/>
        <w:t>un año que no tengan un tipo de interés contractual, cuando el efecto de no actualizar los flujos de efectivo no resulta significativo.</w:t>
      </w:r>
    </w:p>
    <w:p>
      <w:pPr>
        <w:pStyle w:val="BodyText"/>
        <w:spacing w:before="3"/>
      </w:pPr>
    </w:p>
    <w:p>
      <w:pPr>
        <w:pStyle w:val="BodyText"/>
        <w:spacing w:line="247" w:lineRule="auto"/>
        <w:ind w:left="1277" w:right="850"/>
        <w:jc w:val="both"/>
      </w:pPr>
      <w:r>
        <w:rPr/>
        <w:t>Para aquellas existencias que necesitan un período de tiempo superior a un año para estar en condiciones de ser vendidas, el coste incluye los gastos financieros que han sido girados por el proveedor o corresponden a préstamos u otro tipo de financiación ajena, específica o genérica, directamente atribuible a la fabricación o construcción.</w:t>
      </w:r>
    </w:p>
    <w:p>
      <w:pPr>
        <w:pStyle w:val="BodyText"/>
        <w:spacing w:before="6"/>
      </w:pPr>
    </w:p>
    <w:p>
      <w:pPr>
        <w:pStyle w:val="BodyText"/>
        <w:spacing w:line="247" w:lineRule="auto"/>
        <w:ind w:left="1278" w:right="847"/>
        <w:jc w:val="both"/>
      </w:pPr>
      <w:r>
        <w:rPr/>
        <w:t>El valor neto realizable de las existencias representa la estimación del precio de venta deducidos los</w:t>
      </w:r>
      <w:r>
        <w:rPr>
          <w:spacing w:val="-11"/>
        </w:rPr>
        <w:t> </w:t>
      </w:r>
      <w:r>
        <w:rPr/>
        <w:t>costes</w:t>
      </w:r>
      <w:r>
        <w:rPr>
          <w:spacing w:val="-11"/>
        </w:rPr>
        <w:t> </w:t>
      </w:r>
      <w:r>
        <w:rPr/>
        <w:t>estimados</w:t>
      </w:r>
      <w:r>
        <w:rPr>
          <w:spacing w:val="-11"/>
        </w:rPr>
        <w:t> </w:t>
      </w:r>
      <w:r>
        <w:rPr/>
        <w:t>para</w:t>
      </w:r>
      <w:r>
        <w:rPr>
          <w:spacing w:val="-10"/>
        </w:rPr>
        <w:t> </w:t>
      </w:r>
      <w:r>
        <w:rPr/>
        <w:t>terminar</w:t>
      </w:r>
      <w:r>
        <w:rPr>
          <w:spacing w:val="-10"/>
        </w:rPr>
        <w:t> </w:t>
      </w:r>
      <w:r>
        <w:rPr/>
        <w:t>su</w:t>
      </w:r>
      <w:r>
        <w:rPr>
          <w:spacing w:val="-10"/>
        </w:rPr>
        <w:t> </w:t>
      </w:r>
      <w:r>
        <w:rPr/>
        <w:t>fabricación</w:t>
      </w:r>
      <w:r>
        <w:rPr>
          <w:spacing w:val="-10"/>
        </w:rPr>
        <w:t> </w:t>
      </w:r>
      <w:r>
        <w:rPr/>
        <w:t>y</w:t>
      </w:r>
      <w:r>
        <w:rPr>
          <w:spacing w:val="-10"/>
        </w:rPr>
        <w:t> </w:t>
      </w:r>
      <w:r>
        <w:rPr/>
        <w:t>los</w:t>
      </w:r>
      <w:r>
        <w:rPr>
          <w:spacing w:val="-12"/>
        </w:rPr>
        <w:t> </w:t>
      </w:r>
      <w:r>
        <w:rPr/>
        <w:t>costes</w:t>
      </w:r>
      <w:r>
        <w:rPr>
          <w:spacing w:val="-11"/>
        </w:rPr>
        <w:t> </w:t>
      </w:r>
      <w:r>
        <w:rPr/>
        <w:t>en</w:t>
      </w:r>
      <w:r>
        <w:rPr>
          <w:spacing w:val="-10"/>
        </w:rPr>
        <w:t> </w:t>
      </w:r>
      <w:r>
        <w:rPr/>
        <w:t>los</w:t>
      </w:r>
      <w:r>
        <w:rPr>
          <w:spacing w:val="-11"/>
        </w:rPr>
        <w:t> </w:t>
      </w:r>
      <w:r>
        <w:rPr/>
        <w:t>que</w:t>
      </w:r>
      <w:r>
        <w:rPr>
          <w:spacing w:val="-11"/>
        </w:rPr>
        <w:t> </w:t>
      </w:r>
      <w:r>
        <w:rPr/>
        <w:t>se</w:t>
      </w:r>
      <w:r>
        <w:rPr>
          <w:spacing w:val="-11"/>
        </w:rPr>
        <w:t> </w:t>
      </w:r>
      <w:r>
        <w:rPr/>
        <w:t>incurrirá</w:t>
      </w:r>
      <w:r>
        <w:rPr>
          <w:spacing w:val="-11"/>
        </w:rPr>
        <w:t> </w:t>
      </w:r>
      <w:r>
        <w:rPr/>
        <w:t>en</w:t>
      </w:r>
      <w:r>
        <w:rPr>
          <w:spacing w:val="-10"/>
        </w:rPr>
        <w:t> </w:t>
      </w:r>
      <w:r>
        <w:rPr/>
        <w:t>los</w:t>
      </w:r>
      <w:r>
        <w:rPr>
          <w:spacing w:val="-11"/>
        </w:rPr>
        <w:t> </w:t>
      </w:r>
      <w:r>
        <w:rPr/>
        <w:t>procesos de comercialización, venta y distribución.</w:t>
      </w:r>
    </w:p>
    <w:p>
      <w:pPr>
        <w:pStyle w:val="BodyText"/>
        <w:spacing w:before="3"/>
      </w:pPr>
    </w:p>
    <w:p>
      <w:pPr>
        <w:pStyle w:val="BodyText"/>
        <w:spacing w:line="247" w:lineRule="auto"/>
        <w:ind w:left="1278" w:right="852"/>
        <w:jc w:val="both"/>
      </w:pPr>
      <w:r>
        <w:rPr/>
        <w:t>Cuando</w:t>
      </w:r>
      <w:r>
        <w:rPr>
          <w:spacing w:val="-11"/>
        </w:rPr>
        <w:t> </w:t>
      </w:r>
      <w:r>
        <w:rPr/>
        <w:t>el</w:t>
      </w:r>
      <w:r>
        <w:rPr>
          <w:spacing w:val="-12"/>
        </w:rPr>
        <w:t> </w:t>
      </w:r>
      <w:r>
        <w:rPr/>
        <w:t>valor</w:t>
      </w:r>
      <w:r>
        <w:rPr>
          <w:spacing w:val="-11"/>
        </w:rPr>
        <w:t> </w:t>
      </w:r>
      <w:r>
        <w:rPr/>
        <w:t>neto</w:t>
      </w:r>
      <w:r>
        <w:rPr>
          <w:spacing w:val="-11"/>
        </w:rPr>
        <w:t> </w:t>
      </w:r>
      <w:r>
        <w:rPr/>
        <w:t>realizable</w:t>
      </w:r>
      <w:r>
        <w:rPr>
          <w:spacing w:val="-12"/>
        </w:rPr>
        <w:t> </w:t>
      </w:r>
      <w:r>
        <w:rPr/>
        <w:t>de</w:t>
      </w:r>
      <w:r>
        <w:rPr>
          <w:spacing w:val="-11"/>
        </w:rPr>
        <w:t> </w:t>
      </w:r>
      <w:r>
        <w:rPr/>
        <w:t>las</w:t>
      </w:r>
      <w:r>
        <w:rPr>
          <w:spacing w:val="-12"/>
        </w:rPr>
        <w:t> </w:t>
      </w:r>
      <w:r>
        <w:rPr/>
        <w:t>existencias</w:t>
      </w:r>
      <w:r>
        <w:rPr>
          <w:spacing w:val="-11"/>
        </w:rPr>
        <w:t> </w:t>
      </w:r>
      <w:r>
        <w:rPr/>
        <w:t>sea</w:t>
      </w:r>
      <w:r>
        <w:rPr>
          <w:spacing w:val="-13"/>
        </w:rPr>
        <w:t> </w:t>
      </w:r>
      <w:r>
        <w:rPr/>
        <w:t>inferior</w:t>
      </w:r>
      <w:r>
        <w:rPr>
          <w:spacing w:val="-11"/>
        </w:rPr>
        <w:t> </w:t>
      </w:r>
      <w:r>
        <w:rPr/>
        <w:t>a</w:t>
      </w:r>
      <w:r>
        <w:rPr>
          <w:spacing w:val="-12"/>
        </w:rPr>
        <w:t> </w:t>
      </w:r>
      <w:r>
        <w:rPr/>
        <w:t>su</w:t>
      </w:r>
      <w:r>
        <w:rPr>
          <w:spacing w:val="-11"/>
        </w:rPr>
        <w:t> </w:t>
      </w:r>
      <w:r>
        <w:rPr/>
        <w:t>precio</w:t>
      </w:r>
      <w:r>
        <w:rPr>
          <w:spacing w:val="-11"/>
        </w:rPr>
        <w:t> </w:t>
      </w:r>
      <w:r>
        <w:rPr/>
        <w:t>de</w:t>
      </w:r>
      <w:r>
        <w:rPr>
          <w:spacing w:val="-11"/>
        </w:rPr>
        <w:t> </w:t>
      </w:r>
      <w:r>
        <w:rPr/>
        <w:t>adquisición</w:t>
      </w:r>
      <w:r>
        <w:rPr>
          <w:spacing w:val="-11"/>
        </w:rPr>
        <w:t> </w:t>
      </w:r>
      <w:r>
        <w:rPr/>
        <w:t>o</w:t>
      </w:r>
      <w:r>
        <w:rPr>
          <w:spacing w:val="-11"/>
        </w:rPr>
        <w:t> </w:t>
      </w:r>
      <w:r>
        <w:rPr/>
        <w:t>a</w:t>
      </w:r>
      <w:r>
        <w:rPr>
          <w:spacing w:val="-12"/>
        </w:rPr>
        <w:t> </w:t>
      </w:r>
      <w:r>
        <w:rPr/>
        <w:t>su</w:t>
      </w:r>
      <w:r>
        <w:rPr>
          <w:spacing w:val="-11"/>
        </w:rPr>
        <w:t> </w:t>
      </w:r>
      <w:r>
        <w:rPr/>
        <w:t>coste de</w:t>
      </w:r>
      <w:r>
        <w:rPr>
          <w:spacing w:val="-2"/>
        </w:rPr>
        <w:t> </w:t>
      </w:r>
      <w:r>
        <w:rPr/>
        <w:t>producción,</w:t>
      </w:r>
      <w:r>
        <w:rPr>
          <w:spacing w:val="-2"/>
        </w:rPr>
        <w:t> </w:t>
      </w:r>
      <w:r>
        <w:rPr/>
        <w:t>se</w:t>
      </w:r>
      <w:r>
        <w:rPr>
          <w:spacing w:val="-2"/>
        </w:rPr>
        <w:t> </w:t>
      </w:r>
      <w:r>
        <w:rPr/>
        <w:t>efectúan</w:t>
      </w:r>
      <w:r>
        <w:rPr>
          <w:spacing w:val="-2"/>
        </w:rPr>
        <w:t> </w:t>
      </w:r>
      <w:r>
        <w:rPr/>
        <w:t>las</w:t>
      </w:r>
      <w:r>
        <w:rPr>
          <w:spacing w:val="-3"/>
        </w:rPr>
        <w:t> </w:t>
      </w:r>
      <w:r>
        <w:rPr/>
        <w:t>oportunas</w:t>
      </w:r>
      <w:r>
        <w:rPr>
          <w:spacing w:val="-1"/>
        </w:rPr>
        <w:t> </w:t>
      </w:r>
      <w:r>
        <w:rPr/>
        <w:t>correcciones</w:t>
      </w:r>
      <w:r>
        <w:rPr>
          <w:spacing w:val="-3"/>
        </w:rPr>
        <w:t> </w:t>
      </w:r>
      <w:r>
        <w:rPr/>
        <w:t>valorativas</w:t>
      </w:r>
      <w:r>
        <w:rPr>
          <w:spacing w:val="-2"/>
        </w:rPr>
        <w:t> </w:t>
      </w:r>
      <w:r>
        <w:rPr/>
        <w:t>reconociéndolas</w:t>
      </w:r>
      <w:r>
        <w:rPr>
          <w:spacing w:val="-2"/>
        </w:rPr>
        <w:t> </w:t>
      </w:r>
      <w:r>
        <w:rPr/>
        <w:t>como</w:t>
      </w:r>
      <w:r>
        <w:rPr>
          <w:spacing w:val="-2"/>
        </w:rPr>
        <w:t> </w:t>
      </w:r>
      <w:r>
        <w:rPr/>
        <w:t>un</w:t>
      </w:r>
      <w:r>
        <w:rPr>
          <w:spacing w:val="-2"/>
        </w:rPr>
        <w:t> gasto</w:t>
      </w:r>
    </w:p>
    <w:p>
      <w:pPr>
        <w:pStyle w:val="BodyText"/>
        <w:spacing w:after="0" w:line="247" w:lineRule="auto"/>
        <w:jc w:val="both"/>
        <w:sectPr>
          <w:pgSz w:w="11910" w:h="16840"/>
          <w:pgMar w:header="694" w:footer="690" w:top="1920" w:bottom="880" w:left="708" w:right="425"/>
        </w:sectPr>
      </w:pPr>
    </w:p>
    <w:p>
      <w:pPr>
        <w:pStyle w:val="BodyText"/>
        <w:spacing w:before="187"/>
        <w:ind w:left="1278"/>
        <w:jc w:val="both"/>
      </w:pPr>
      <w:r>
        <w:rPr/>
        <w:t>en</w:t>
      </w:r>
      <w:r>
        <w:rPr>
          <w:spacing w:val="-5"/>
        </w:rPr>
        <w:t> </w:t>
      </w:r>
      <w:r>
        <w:rPr/>
        <w:t>la</w:t>
      </w:r>
      <w:r>
        <w:rPr>
          <w:spacing w:val="-4"/>
        </w:rPr>
        <w:t> </w:t>
      </w:r>
      <w:r>
        <w:rPr/>
        <w:t>cuenta</w:t>
      </w:r>
      <w:r>
        <w:rPr>
          <w:spacing w:val="-5"/>
        </w:rPr>
        <w:t> </w:t>
      </w:r>
      <w:r>
        <w:rPr/>
        <w:t>de</w:t>
      </w:r>
      <w:r>
        <w:rPr>
          <w:spacing w:val="-4"/>
        </w:rPr>
        <w:t> </w:t>
      </w:r>
      <w:r>
        <w:rPr/>
        <w:t>pérdidas</w:t>
      </w:r>
      <w:r>
        <w:rPr>
          <w:spacing w:val="-5"/>
        </w:rPr>
        <w:t> </w:t>
      </w:r>
      <w:r>
        <w:rPr/>
        <w:t>y</w:t>
      </w:r>
      <w:r>
        <w:rPr>
          <w:spacing w:val="-4"/>
        </w:rPr>
        <w:t> </w:t>
      </w:r>
      <w:r>
        <w:rPr>
          <w:spacing w:val="-2"/>
        </w:rPr>
        <w:t>ganancias.</w:t>
      </w:r>
    </w:p>
    <w:p>
      <w:pPr>
        <w:pStyle w:val="BodyText"/>
        <w:spacing w:before="13"/>
      </w:pPr>
    </w:p>
    <w:p>
      <w:pPr>
        <w:pStyle w:val="BodyText"/>
        <w:spacing w:line="244" w:lineRule="auto"/>
        <w:ind w:left="1277" w:right="855"/>
        <w:jc w:val="both"/>
      </w:pPr>
      <w:r>
        <w:rPr/>
        <w:t>Dichas correcciones son objeto de reversión si las circunstancias que causaron la corrección del valor de las existencias hubiesen dejado de existir, reconociéndose como un ingreso en la cuenta de pérdidas y ganancias.</w:t>
      </w:r>
    </w:p>
    <w:p>
      <w:pPr>
        <w:pStyle w:val="BodyText"/>
        <w:spacing w:before="6"/>
      </w:pPr>
    </w:p>
    <w:p>
      <w:pPr>
        <w:pStyle w:val="BodyText"/>
        <w:spacing w:line="247" w:lineRule="auto"/>
        <w:ind w:left="1278" w:right="840"/>
        <w:jc w:val="both"/>
      </w:pPr>
      <w:r>
        <w:rPr/>
        <w:t>Considerando el volumen y complejidad técnica de las actuaciones a realizar por la Sociedad, así como la dificultad para determinar el valor de mercado futuro de los terrenos que ésta obtendrá a cambio</w:t>
      </w:r>
      <w:r>
        <w:rPr>
          <w:spacing w:val="-7"/>
        </w:rPr>
        <w:t> </w:t>
      </w:r>
      <w:r>
        <w:rPr/>
        <w:t>de</w:t>
      </w:r>
      <w:r>
        <w:rPr>
          <w:spacing w:val="-7"/>
        </w:rPr>
        <w:t> </w:t>
      </w:r>
      <w:r>
        <w:rPr/>
        <w:t>dichas</w:t>
      </w:r>
      <w:r>
        <w:rPr>
          <w:spacing w:val="-7"/>
        </w:rPr>
        <w:t> </w:t>
      </w:r>
      <w:r>
        <w:rPr/>
        <w:t>actuaciones</w:t>
      </w:r>
      <w:r>
        <w:rPr>
          <w:spacing w:val="-8"/>
        </w:rPr>
        <w:t> </w:t>
      </w:r>
      <w:r>
        <w:rPr/>
        <w:t>(véanse</w:t>
      </w:r>
      <w:r>
        <w:rPr>
          <w:spacing w:val="-8"/>
        </w:rPr>
        <w:t> </w:t>
      </w:r>
      <w:r>
        <w:rPr/>
        <w:t>notas</w:t>
      </w:r>
      <w:r>
        <w:rPr>
          <w:spacing w:val="-7"/>
        </w:rPr>
        <w:t> </w:t>
      </w:r>
      <w:r>
        <w:rPr/>
        <w:t>1</w:t>
      </w:r>
      <w:r>
        <w:rPr>
          <w:spacing w:val="-7"/>
        </w:rPr>
        <w:t> </w:t>
      </w:r>
      <w:r>
        <w:rPr/>
        <w:t>y</w:t>
      </w:r>
      <w:r>
        <w:rPr>
          <w:spacing w:val="-7"/>
        </w:rPr>
        <w:t> </w:t>
      </w:r>
      <w:r>
        <w:rPr/>
        <w:t>2</w:t>
      </w:r>
      <w:r>
        <w:rPr>
          <w:spacing w:val="-7"/>
        </w:rPr>
        <w:t> </w:t>
      </w:r>
      <w:r>
        <w:rPr/>
        <w:t>(c)),</w:t>
      </w:r>
      <w:r>
        <w:rPr>
          <w:spacing w:val="-7"/>
        </w:rPr>
        <w:t> </w:t>
      </w:r>
      <w:r>
        <w:rPr/>
        <w:t>la</w:t>
      </w:r>
      <w:r>
        <w:rPr>
          <w:spacing w:val="-7"/>
        </w:rPr>
        <w:t> </w:t>
      </w:r>
      <w:r>
        <w:rPr/>
        <w:t>Sociedad</w:t>
      </w:r>
      <w:r>
        <w:rPr>
          <w:spacing w:val="-7"/>
        </w:rPr>
        <w:t> </w:t>
      </w:r>
      <w:r>
        <w:rPr/>
        <w:t>considera</w:t>
      </w:r>
      <w:r>
        <w:rPr>
          <w:spacing w:val="-7"/>
        </w:rPr>
        <w:t> </w:t>
      </w:r>
      <w:r>
        <w:rPr/>
        <w:t>que</w:t>
      </w:r>
      <w:r>
        <w:rPr>
          <w:spacing w:val="-7"/>
        </w:rPr>
        <w:t> </w:t>
      </w:r>
      <w:r>
        <w:rPr/>
        <w:t>el</w:t>
      </w:r>
      <w:r>
        <w:rPr>
          <w:spacing w:val="-7"/>
        </w:rPr>
        <w:t> </w:t>
      </w:r>
      <w:r>
        <w:rPr/>
        <w:t>resultado</w:t>
      </w:r>
      <w:r>
        <w:rPr>
          <w:spacing w:val="66"/>
        </w:rPr>
        <w:t> </w:t>
      </w:r>
      <w:r>
        <w:rPr/>
        <w:t>final de los ingresos futuros y los rendimientos económicos que finalmente se</w:t>
      </w:r>
      <w:r>
        <w:rPr>
          <w:spacing w:val="-1"/>
        </w:rPr>
        <w:t> </w:t>
      </w:r>
      <w:r>
        <w:rPr/>
        <w:t>obtengan de su actividad no pueden ser estimados con fiabilidad. No obstante, la Sociedad sí considera que recuperará los costes incurridos imputables a las actuaciones a desarrollar, al existir un compromiso por parte de los</w:t>
      </w:r>
      <w:r>
        <w:rPr>
          <w:spacing w:val="-3"/>
        </w:rPr>
        <w:t> </w:t>
      </w:r>
      <w:r>
        <w:rPr/>
        <w:t>Accionistas</w:t>
      </w:r>
      <w:r>
        <w:rPr>
          <w:spacing w:val="-3"/>
        </w:rPr>
        <w:t> </w:t>
      </w:r>
      <w:r>
        <w:rPr/>
        <w:t>en</w:t>
      </w:r>
      <w:r>
        <w:rPr>
          <w:spacing w:val="-3"/>
        </w:rPr>
        <w:t> </w:t>
      </w:r>
      <w:r>
        <w:rPr/>
        <w:t>el</w:t>
      </w:r>
      <w:r>
        <w:rPr>
          <w:spacing w:val="-3"/>
        </w:rPr>
        <w:t> </w:t>
      </w:r>
      <w:r>
        <w:rPr/>
        <w:t>Convenio</w:t>
      </w:r>
      <w:r>
        <w:rPr>
          <w:spacing w:val="-2"/>
        </w:rPr>
        <w:t> </w:t>
      </w:r>
      <w:r>
        <w:rPr/>
        <w:t>de</w:t>
      </w:r>
      <w:r>
        <w:rPr>
          <w:spacing w:val="-3"/>
        </w:rPr>
        <w:t> </w:t>
      </w:r>
      <w:r>
        <w:rPr/>
        <w:t>2006</w:t>
      </w:r>
      <w:r>
        <w:rPr>
          <w:spacing w:val="-3"/>
        </w:rPr>
        <w:t> </w:t>
      </w:r>
      <w:r>
        <w:rPr/>
        <w:t>y</w:t>
      </w:r>
      <w:r>
        <w:rPr>
          <w:spacing w:val="-2"/>
        </w:rPr>
        <w:t> </w:t>
      </w:r>
      <w:r>
        <w:rPr/>
        <w:t>su</w:t>
      </w:r>
      <w:r>
        <w:rPr>
          <w:spacing w:val="-2"/>
        </w:rPr>
        <w:t> </w:t>
      </w:r>
      <w:r>
        <w:rPr/>
        <w:t>posterior</w:t>
      </w:r>
      <w:r>
        <w:rPr>
          <w:spacing w:val="-2"/>
        </w:rPr>
        <w:t> </w:t>
      </w:r>
      <w:r>
        <w:rPr/>
        <w:t>Adenda</w:t>
      </w:r>
      <w:r>
        <w:rPr>
          <w:spacing w:val="-3"/>
        </w:rPr>
        <w:t> </w:t>
      </w:r>
      <w:r>
        <w:rPr/>
        <w:t>Modificativa</w:t>
      </w:r>
      <w:r>
        <w:rPr>
          <w:spacing w:val="-3"/>
        </w:rPr>
        <w:t> </w:t>
      </w:r>
      <w:r>
        <w:rPr/>
        <w:t>del</w:t>
      </w:r>
      <w:r>
        <w:rPr>
          <w:spacing w:val="-2"/>
        </w:rPr>
        <w:t> </w:t>
      </w:r>
      <w:r>
        <w:rPr/>
        <w:t>Convenio</w:t>
      </w:r>
      <w:r>
        <w:rPr>
          <w:spacing w:val="-3"/>
        </w:rPr>
        <w:t> </w:t>
      </w:r>
      <w:r>
        <w:rPr/>
        <w:t>de</w:t>
      </w:r>
      <w:r>
        <w:rPr>
          <w:spacing w:val="-3"/>
        </w:rPr>
        <w:t> </w:t>
      </w:r>
      <w:r>
        <w:rPr/>
        <w:t>2006 descrito en las notas 1 y</w:t>
      </w:r>
      <w:r>
        <w:rPr>
          <w:spacing w:val="-1"/>
        </w:rPr>
        <w:t> </w:t>
      </w:r>
      <w:r>
        <w:rPr/>
        <w:t>2(c) de realizar aportaciones</w:t>
      </w:r>
      <w:r>
        <w:rPr>
          <w:spacing w:val="-1"/>
        </w:rPr>
        <w:t> </w:t>
      </w:r>
      <w:r>
        <w:rPr/>
        <w:t>para cubrir la totalidad de los costes una vez descontadas las plusvalías generadas por la operación urbanística. En consecuencia, y de acuerdo con lo establecido en el Plan General de Contabilidad, solo se reconocen ingresos, vía “Variación de existencias” e “Incorporación al activo de gastos financieros”, hasta el límite de los gastos reconocidos que son recuperables.</w:t>
      </w:r>
    </w:p>
    <w:p>
      <w:pPr>
        <w:pStyle w:val="BodyText"/>
        <w:spacing w:line="247" w:lineRule="auto" w:before="252"/>
        <w:ind w:left="1278" w:right="843"/>
        <w:jc w:val="both"/>
      </w:pPr>
      <w:r>
        <w:rPr/>
        <w:t>La</w:t>
      </w:r>
      <w:r>
        <w:rPr>
          <w:spacing w:val="-7"/>
        </w:rPr>
        <w:t> </w:t>
      </w:r>
      <w:r>
        <w:rPr/>
        <w:t>contrapartida</w:t>
      </w:r>
      <w:r>
        <w:rPr>
          <w:spacing w:val="-7"/>
        </w:rPr>
        <w:t> </w:t>
      </w:r>
      <w:r>
        <w:rPr/>
        <w:t>de</w:t>
      </w:r>
      <w:r>
        <w:rPr>
          <w:spacing w:val="-7"/>
        </w:rPr>
        <w:t> </w:t>
      </w:r>
      <w:r>
        <w:rPr/>
        <w:t>la</w:t>
      </w:r>
      <w:r>
        <w:rPr>
          <w:spacing w:val="-7"/>
        </w:rPr>
        <w:t> </w:t>
      </w:r>
      <w:r>
        <w:rPr/>
        <w:t>“Variación</w:t>
      </w:r>
      <w:r>
        <w:rPr>
          <w:spacing w:val="-6"/>
        </w:rPr>
        <w:t> </w:t>
      </w:r>
      <w:r>
        <w:rPr/>
        <w:t>de</w:t>
      </w:r>
      <w:r>
        <w:rPr>
          <w:spacing w:val="-7"/>
        </w:rPr>
        <w:t> </w:t>
      </w:r>
      <w:r>
        <w:rPr/>
        <w:t>existencias”</w:t>
      </w:r>
      <w:r>
        <w:rPr>
          <w:spacing w:val="-7"/>
        </w:rPr>
        <w:t> </w:t>
      </w:r>
      <w:r>
        <w:rPr/>
        <w:t>e</w:t>
      </w:r>
      <w:r>
        <w:rPr>
          <w:spacing w:val="-7"/>
        </w:rPr>
        <w:t> </w:t>
      </w:r>
      <w:r>
        <w:rPr/>
        <w:t>“Incorporación</w:t>
      </w:r>
      <w:r>
        <w:rPr>
          <w:spacing w:val="-6"/>
        </w:rPr>
        <w:t> </w:t>
      </w:r>
      <w:r>
        <w:rPr/>
        <w:t>al</w:t>
      </w:r>
      <w:r>
        <w:rPr>
          <w:spacing w:val="-7"/>
        </w:rPr>
        <w:t> </w:t>
      </w:r>
      <w:r>
        <w:rPr/>
        <w:t>activo</w:t>
      </w:r>
      <w:r>
        <w:rPr>
          <w:spacing w:val="-6"/>
        </w:rPr>
        <w:t> </w:t>
      </w:r>
      <w:r>
        <w:rPr/>
        <w:t>de</w:t>
      </w:r>
      <w:r>
        <w:rPr>
          <w:spacing w:val="-8"/>
        </w:rPr>
        <w:t> </w:t>
      </w:r>
      <w:r>
        <w:rPr/>
        <w:t>gastos</w:t>
      </w:r>
      <w:r>
        <w:rPr>
          <w:spacing w:val="29"/>
        </w:rPr>
        <w:t> </w:t>
      </w:r>
      <w:r>
        <w:rPr/>
        <w:t>financieros” reconocidos siguiendo el criterio descrito en el párrafo anterior es el epígrafe “Existencias” del “Activo</w:t>
      </w:r>
      <w:r>
        <w:rPr>
          <w:spacing w:val="-1"/>
        </w:rPr>
        <w:t> </w:t>
      </w:r>
      <w:r>
        <w:rPr/>
        <w:t>corriente”. Estas existencias serán realizadas tras</w:t>
      </w:r>
      <w:r>
        <w:rPr>
          <w:spacing w:val="-1"/>
        </w:rPr>
        <w:t> </w:t>
      </w:r>
      <w:r>
        <w:rPr/>
        <w:t>la entrega de las obras ejecutadas por la Sociedad, recibiendo como contrapartida determinados terrenos (véase nota 1). Al corresponder por tanto a una partida no monetaria, no se ha registrado descuento financiero alguno en relación con estos saldos.</w:t>
      </w:r>
    </w:p>
    <w:p>
      <w:pPr>
        <w:pStyle w:val="BodyText"/>
      </w:pPr>
    </w:p>
    <w:p>
      <w:pPr>
        <w:pStyle w:val="BodyText"/>
        <w:spacing w:line="247" w:lineRule="auto"/>
        <w:ind w:left="1278" w:right="845"/>
        <w:jc w:val="both"/>
      </w:pPr>
      <w:r>
        <w:rPr>
          <w:spacing w:val="-2"/>
        </w:rPr>
        <w:t>De</w:t>
      </w:r>
      <w:r>
        <w:rPr>
          <w:spacing w:val="-6"/>
        </w:rPr>
        <w:t> </w:t>
      </w:r>
      <w:r>
        <w:rPr>
          <w:spacing w:val="-2"/>
        </w:rPr>
        <w:t>acuerdo</w:t>
      </w:r>
      <w:r>
        <w:rPr>
          <w:spacing w:val="-5"/>
        </w:rPr>
        <w:t> </w:t>
      </w:r>
      <w:r>
        <w:rPr>
          <w:spacing w:val="-2"/>
        </w:rPr>
        <w:t>con</w:t>
      </w:r>
      <w:r>
        <w:rPr>
          <w:spacing w:val="-5"/>
        </w:rPr>
        <w:t> </w:t>
      </w:r>
      <w:r>
        <w:rPr>
          <w:spacing w:val="-2"/>
        </w:rPr>
        <w:t>su</w:t>
      </w:r>
      <w:r>
        <w:rPr>
          <w:spacing w:val="-6"/>
        </w:rPr>
        <w:t> </w:t>
      </w:r>
      <w:r>
        <w:rPr>
          <w:spacing w:val="-2"/>
        </w:rPr>
        <w:t>naturaleza</w:t>
      </w:r>
      <w:r>
        <w:rPr>
          <w:spacing w:val="-6"/>
        </w:rPr>
        <w:t> </w:t>
      </w:r>
      <w:r>
        <w:rPr>
          <w:spacing w:val="-2"/>
        </w:rPr>
        <w:t>y</w:t>
      </w:r>
      <w:r>
        <w:rPr>
          <w:spacing w:val="-5"/>
        </w:rPr>
        <w:t> </w:t>
      </w:r>
      <w:r>
        <w:rPr>
          <w:spacing w:val="-2"/>
        </w:rPr>
        <w:t>a</w:t>
      </w:r>
      <w:r>
        <w:rPr>
          <w:spacing w:val="-6"/>
        </w:rPr>
        <w:t> </w:t>
      </w:r>
      <w:r>
        <w:rPr>
          <w:spacing w:val="-2"/>
        </w:rPr>
        <w:t>la</w:t>
      </w:r>
      <w:r>
        <w:rPr>
          <w:spacing w:val="-6"/>
        </w:rPr>
        <w:t> </w:t>
      </w:r>
      <w:r>
        <w:rPr>
          <w:spacing w:val="-2"/>
        </w:rPr>
        <w:t>normativa</w:t>
      </w:r>
      <w:r>
        <w:rPr>
          <w:spacing w:val="-5"/>
        </w:rPr>
        <w:t> </w:t>
      </w:r>
      <w:r>
        <w:rPr>
          <w:spacing w:val="-2"/>
        </w:rPr>
        <w:t>contable,</w:t>
      </w:r>
      <w:r>
        <w:rPr>
          <w:spacing w:val="-5"/>
        </w:rPr>
        <w:t> </w:t>
      </w:r>
      <w:r>
        <w:rPr>
          <w:spacing w:val="-2"/>
        </w:rPr>
        <w:t>estas</w:t>
      </w:r>
      <w:r>
        <w:rPr>
          <w:spacing w:val="-6"/>
        </w:rPr>
        <w:t> </w:t>
      </w:r>
      <w:r>
        <w:rPr>
          <w:spacing w:val="-2"/>
        </w:rPr>
        <w:t>existencias</w:t>
      </w:r>
      <w:r>
        <w:rPr>
          <w:spacing w:val="-6"/>
        </w:rPr>
        <w:t> </w:t>
      </w:r>
      <w:r>
        <w:rPr>
          <w:spacing w:val="-2"/>
        </w:rPr>
        <w:t>se</w:t>
      </w:r>
      <w:r>
        <w:rPr>
          <w:spacing w:val="-6"/>
        </w:rPr>
        <w:t> </w:t>
      </w:r>
      <w:r>
        <w:rPr>
          <w:spacing w:val="-2"/>
        </w:rPr>
        <w:t>clasifican</w:t>
      </w:r>
      <w:r>
        <w:rPr>
          <w:spacing w:val="-6"/>
        </w:rPr>
        <w:t> </w:t>
      </w:r>
      <w:r>
        <w:rPr>
          <w:spacing w:val="-2"/>
        </w:rPr>
        <w:t>como</w:t>
      </w:r>
      <w:r>
        <w:rPr>
          <w:spacing w:val="-5"/>
        </w:rPr>
        <w:t> </w:t>
      </w:r>
      <w:r>
        <w:rPr>
          <w:spacing w:val="-2"/>
        </w:rPr>
        <w:t>“Activo </w:t>
      </w:r>
      <w:r>
        <w:rPr/>
        <w:t>corriente”,</w:t>
      </w:r>
      <w:r>
        <w:rPr>
          <w:spacing w:val="-5"/>
        </w:rPr>
        <w:t> </w:t>
      </w:r>
      <w:r>
        <w:rPr/>
        <w:t>con</w:t>
      </w:r>
      <w:r>
        <w:rPr>
          <w:spacing w:val="-4"/>
        </w:rPr>
        <w:t> </w:t>
      </w:r>
      <w:r>
        <w:rPr/>
        <w:t>independencia</w:t>
      </w:r>
      <w:r>
        <w:rPr>
          <w:spacing w:val="-5"/>
        </w:rPr>
        <w:t> </w:t>
      </w:r>
      <w:r>
        <w:rPr/>
        <w:t>de</w:t>
      </w:r>
      <w:r>
        <w:rPr>
          <w:spacing w:val="-4"/>
        </w:rPr>
        <w:t> </w:t>
      </w:r>
      <w:r>
        <w:rPr/>
        <w:t>su</w:t>
      </w:r>
      <w:r>
        <w:rPr>
          <w:spacing w:val="-4"/>
        </w:rPr>
        <w:t> </w:t>
      </w:r>
      <w:r>
        <w:rPr/>
        <w:t>periodo</w:t>
      </w:r>
      <w:r>
        <w:rPr>
          <w:spacing w:val="-4"/>
        </w:rPr>
        <w:t> </w:t>
      </w:r>
      <w:r>
        <w:rPr/>
        <w:t>estimado</w:t>
      </w:r>
      <w:r>
        <w:rPr>
          <w:spacing w:val="-4"/>
        </w:rPr>
        <w:t> </w:t>
      </w:r>
      <w:r>
        <w:rPr/>
        <w:t>de</w:t>
      </w:r>
      <w:r>
        <w:rPr>
          <w:spacing w:val="-4"/>
        </w:rPr>
        <w:t> </w:t>
      </w:r>
      <w:r>
        <w:rPr/>
        <w:t>realización,</w:t>
      </w:r>
      <w:r>
        <w:rPr>
          <w:spacing w:val="-4"/>
        </w:rPr>
        <w:t> </w:t>
      </w:r>
      <w:r>
        <w:rPr/>
        <w:t>que</w:t>
      </w:r>
      <w:r>
        <w:rPr>
          <w:spacing w:val="-5"/>
        </w:rPr>
        <w:t> </w:t>
      </w:r>
      <w:r>
        <w:rPr/>
        <w:t>al</w:t>
      </w:r>
      <w:r>
        <w:rPr>
          <w:spacing w:val="-5"/>
        </w:rPr>
        <w:t> </w:t>
      </w:r>
      <w:r>
        <w:rPr/>
        <w:t>cierre</w:t>
      </w:r>
      <w:r>
        <w:rPr>
          <w:spacing w:val="-5"/>
        </w:rPr>
        <w:t> </w:t>
      </w:r>
      <w:r>
        <w:rPr/>
        <w:t>de</w:t>
      </w:r>
      <w:r>
        <w:rPr>
          <w:spacing w:val="-4"/>
        </w:rPr>
        <w:t> </w:t>
      </w:r>
      <w:r>
        <w:rPr/>
        <w:t>los</w:t>
      </w:r>
      <w:r>
        <w:rPr>
          <w:spacing w:val="-5"/>
        </w:rPr>
        <w:t> </w:t>
      </w:r>
      <w:r>
        <w:rPr/>
        <w:t>ejercicios 2025 y 2024 es de ciclo largo.</w:t>
      </w:r>
    </w:p>
    <w:p>
      <w:pPr>
        <w:pStyle w:val="BodyText"/>
        <w:spacing w:before="6"/>
      </w:pPr>
    </w:p>
    <w:p>
      <w:pPr>
        <w:pStyle w:val="ListParagraph"/>
        <w:numPr>
          <w:ilvl w:val="0"/>
          <w:numId w:val="5"/>
        </w:numPr>
        <w:tabs>
          <w:tab w:pos="1276" w:val="left" w:leader="none"/>
        </w:tabs>
        <w:spacing w:line="240" w:lineRule="auto" w:before="0" w:after="0"/>
        <w:ind w:left="1276" w:right="0" w:hanging="281"/>
        <w:jc w:val="left"/>
        <w:rPr>
          <w:sz w:val="22"/>
        </w:rPr>
      </w:pPr>
      <w:r>
        <w:rPr>
          <w:sz w:val="22"/>
        </w:rPr>
        <w:t>Impuesto</w:t>
      </w:r>
      <w:r>
        <w:rPr>
          <w:spacing w:val="-10"/>
          <w:sz w:val="22"/>
        </w:rPr>
        <w:t> </w:t>
      </w:r>
      <w:r>
        <w:rPr>
          <w:sz w:val="22"/>
        </w:rPr>
        <w:t>sobre</w:t>
      </w:r>
      <w:r>
        <w:rPr>
          <w:spacing w:val="-10"/>
          <w:sz w:val="22"/>
        </w:rPr>
        <w:t> </w:t>
      </w:r>
      <w:r>
        <w:rPr>
          <w:spacing w:val="-2"/>
          <w:sz w:val="22"/>
        </w:rPr>
        <w:t>beneficios</w:t>
      </w:r>
    </w:p>
    <w:p>
      <w:pPr>
        <w:pStyle w:val="BodyText"/>
        <w:spacing w:before="14"/>
      </w:pPr>
    </w:p>
    <w:p>
      <w:pPr>
        <w:pStyle w:val="BodyText"/>
        <w:spacing w:line="247" w:lineRule="auto"/>
        <w:ind w:left="1278" w:right="857"/>
        <w:jc w:val="both"/>
      </w:pPr>
      <w:r>
        <w:rPr/>
        <w:t>El gasto o ingreso por impuesto sobre beneficios se calcula mediante la suma del gasto o ingreso por el impuesto corriente más la parte correspondiente al gasto o ingreso por impuesto diferido.</w:t>
      </w:r>
    </w:p>
    <w:p>
      <w:pPr>
        <w:pStyle w:val="BodyText"/>
        <w:spacing w:before="4"/>
      </w:pPr>
    </w:p>
    <w:p>
      <w:pPr>
        <w:pStyle w:val="BodyText"/>
        <w:spacing w:line="247" w:lineRule="auto" w:before="1"/>
        <w:ind w:left="1278" w:right="848"/>
        <w:jc w:val="both"/>
      </w:pPr>
      <w:r>
        <w:rPr/>
        <w:t>El</w:t>
      </w:r>
      <w:r>
        <w:rPr>
          <w:spacing w:val="-5"/>
        </w:rPr>
        <w:t> </w:t>
      </w:r>
      <w:r>
        <w:rPr/>
        <w:t>impuesto</w:t>
      </w:r>
      <w:r>
        <w:rPr>
          <w:spacing w:val="-6"/>
        </w:rPr>
        <w:t> </w:t>
      </w:r>
      <w:r>
        <w:rPr/>
        <w:t>corriente</w:t>
      </w:r>
      <w:r>
        <w:rPr>
          <w:spacing w:val="-6"/>
        </w:rPr>
        <w:t> </w:t>
      </w:r>
      <w:r>
        <w:rPr/>
        <w:t>es</w:t>
      </w:r>
      <w:r>
        <w:rPr>
          <w:spacing w:val="-6"/>
        </w:rPr>
        <w:t> </w:t>
      </w:r>
      <w:r>
        <w:rPr/>
        <w:t>la</w:t>
      </w:r>
      <w:r>
        <w:rPr>
          <w:spacing w:val="-6"/>
        </w:rPr>
        <w:t> </w:t>
      </w:r>
      <w:r>
        <w:rPr/>
        <w:t>cantidad</w:t>
      </w:r>
      <w:r>
        <w:rPr>
          <w:spacing w:val="-5"/>
        </w:rPr>
        <w:t> </w:t>
      </w:r>
      <w:r>
        <w:rPr/>
        <w:t>que</w:t>
      </w:r>
      <w:r>
        <w:rPr>
          <w:spacing w:val="-6"/>
        </w:rPr>
        <w:t> </w:t>
      </w:r>
      <w:r>
        <w:rPr/>
        <w:t>resulta</w:t>
      </w:r>
      <w:r>
        <w:rPr>
          <w:spacing w:val="-6"/>
        </w:rPr>
        <w:t> </w:t>
      </w:r>
      <w:r>
        <w:rPr/>
        <w:t>de</w:t>
      </w:r>
      <w:r>
        <w:rPr>
          <w:spacing w:val="-5"/>
        </w:rPr>
        <w:t> </w:t>
      </w:r>
      <w:r>
        <w:rPr/>
        <w:t>la</w:t>
      </w:r>
      <w:r>
        <w:rPr>
          <w:spacing w:val="-6"/>
        </w:rPr>
        <w:t> </w:t>
      </w:r>
      <w:r>
        <w:rPr/>
        <w:t>aplicación</w:t>
      </w:r>
      <w:r>
        <w:rPr>
          <w:spacing w:val="-5"/>
        </w:rPr>
        <w:t> </w:t>
      </w:r>
      <w:r>
        <w:rPr/>
        <w:t>del</w:t>
      </w:r>
      <w:r>
        <w:rPr>
          <w:spacing w:val="-6"/>
        </w:rPr>
        <w:t> </w:t>
      </w:r>
      <w:r>
        <w:rPr/>
        <w:t>tipo</w:t>
      </w:r>
      <w:r>
        <w:rPr>
          <w:spacing w:val="-5"/>
        </w:rPr>
        <w:t> </w:t>
      </w:r>
      <w:r>
        <w:rPr/>
        <w:t>de</w:t>
      </w:r>
      <w:r>
        <w:rPr>
          <w:spacing w:val="-6"/>
        </w:rPr>
        <w:t> </w:t>
      </w:r>
      <w:r>
        <w:rPr/>
        <w:t>gravamen</w:t>
      </w:r>
      <w:r>
        <w:rPr>
          <w:spacing w:val="-5"/>
        </w:rPr>
        <w:t> </w:t>
      </w:r>
      <w:r>
        <w:rPr/>
        <w:t>sobre</w:t>
      </w:r>
      <w:r>
        <w:rPr>
          <w:spacing w:val="-6"/>
        </w:rPr>
        <w:t> </w:t>
      </w:r>
      <w:r>
        <w:rPr/>
        <w:t>la</w:t>
      </w:r>
      <w:r>
        <w:rPr>
          <w:spacing w:val="-6"/>
        </w:rPr>
        <w:t> </w:t>
      </w:r>
      <w:r>
        <w:rPr/>
        <w:t>base imponible del ejercicio. Las deducciones y otras ventajas fiscales en la cuota del impuesto, excluidas las retenciones y pagos a cuenta, así como las pérdidas fiscales compensables de ejercicios anteriores y aplicadas efectivamente en el ejercicio, darán lugar a un menor importe del impuesto corriente.</w:t>
      </w:r>
    </w:p>
    <w:p>
      <w:pPr>
        <w:pStyle w:val="BodyText"/>
        <w:spacing w:before="3"/>
      </w:pPr>
    </w:p>
    <w:p>
      <w:pPr>
        <w:pStyle w:val="BodyText"/>
        <w:spacing w:line="247" w:lineRule="auto"/>
        <w:ind w:left="1278" w:right="848"/>
        <w:jc w:val="both"/>
      </w:pPr>
      <w:r>
        <w:rPr/>
        <w:t>Por su parte, el gasto o ingreso por impuesto diferido se corresponde con el reconocimiento y la cancelación de los activos por impuesto diferido por diferencias temporarias deducibles, por el derecho</w:t>
      </w:r>
      <w:r>
        <w:rPr>
          <w:spacing w:val="-1"/>
        </w:rPr>
        <w:t> </w:t>
      </w:r>
      <w:r>
        <w:rPr/>
        <w:t>a</w:t>
      </w:r>
      <w:r>
        <w:rPr>
          <w:spacing w:val="-2"/>
        </w:rPr>
        <w:t> </w:t>
      </w:r>
      <w:r>
        <w:rPr/>
        <w:t>compensar</w:t>
      </w:r>
      <w:r>
        <w:rPr>
          <w:spacing w:val="-2"/>
        </w:rPr>
        <w:t> </w:t>
      </w:r>
      <w:r>
        <w:rPr/>
        <w:t>pérdidas</w:t>
      </w:r>
      <w:r>
        <w:rPr>
          <w:spacing w:val="-2"/>
        </w:rPr>
        <w:t> </w:t>
      </w:r>
      <w:r>
        <w:rPr/>
        <w:t>fiscales</w:t>
      </w:r>
      <w:r>
        <w:rPr>
          <w:spacing w:val="-2"/>
        </w:rPr>
        <w:t> </w:t>
      </w:r>
      <w:r>
        <w:rPr/>
        <w:t>en</w:t>
      </w:r>
      <w:r>
        <w:rPr>
          <w:spacing w:val="-1"/>
        </w:rPr>
        <w:t> </w:t>
      </w:r>
      <w:r>
        <w:rPr/>
        <w:t>ejercicios</w:t>
      </w:r>
      <w:r>
        <w:rPr>
          <w:spacing w:val="-2"/>
        </w:rPr>
        <w:t> </w:t>
      </w:r>
      <w:r>
        <w:rPr/>
        <w:t>posteriores</w:t>
      </w:r>
      <w:r>
        <w:rPr>
          <w:spacing w:val="-2"/>
        </w:rPr>
        <w:t> </w:t>
      </w:r>
      <w:r>
        <w:rPr/>
        <w:t>y</w:t>
      </w:r>
      <w:r>
        <w:rPr>
          <w:spacing w:val="-1"/>
        </w:rPr>
        <w:t> </w:t>
      </w:r>
      <w:r>
        <w:rPr/>
        <w:t>por</w:t>
      </w:r>
      <w:r>
        <w:rPr>
          <w:spacing w:val="-2"/>
        </w:rPr>
        <w:t> </w:t>
      </w:r>
      <w:r>
        <w:rPr/>
        <w:t>deducciones</w:t>
      </w:r>
      <w:r>
        <w:rPr>
          <w:spacing w:val="-3"/>
        </w:rPr>
        <w:t> </w:t>
      </w:r>
      <w:r>
        <w:rPr/>
        <w:t>y</w:t>
      </w:r>
      <w:r>
        <w:rPr>
          <w:spacing w:val="-1"/>
        </w:rPr>
        <w:t> </w:t>
      </w:r>
      <w:r>
        <w:rPr/>
        <w:t>otras</w:t>
      </w:r>
      <w:r>
        <w:rPr>
          <w:spacing w:val="-2"/>
        </w:rPr>
        <w:t> </w:t>
      </w:r>
      <w:r>
        <w:rPr/>
        <w:t>ventajas fiscales no utilizadas pendientes de aplicar y pasivos por impuesto diferido por diferencias temporarias imponibles.</w:t>
      </w:r>
    </w:p>
    <w:p>
      <w:pPr>
        <w:pStyle w:val="BodyText"/>
        <w:spacing w:before="4"/>
      </w:pPr>
    </w:p>
    <w:p>
      <w:pPr>
        <w:pStyle w:val="BodyText"/>
        <w:spacing w:line="247" w:lineRule="auto"/>
        <w:ind w:left="1278" w:right="856"/>
        <w:jc w:val="both"/>
      </w:pPr>
      <w:r>
        <w:rPr/>
        <w:t>Los activos y pasivos por impuesto diferido se valoran según los tipos de gravamen esperados en el momento de su reversión.</w:t>
      </w:r>
    </w:p>
    <w:p>
      <w:pPr>
        <w:pStyle w:val="BodyText"/>
        <w:spacing w:before="6"/>
      </w:pPr>
    </w:p>
    <w:p>
      <w:pPr>
        <w:pStyle w:val="BodyText"/>
        <w:ind w:left="1278"/>
        <w:jc w:val="both"/>
      </w:pPr>
      <w:r>
        <w:rPr/>
        <w:t>Se</w:t>
      </w:r>
      <w:r>
        <w:rPr>
          <w:spacing w:val="22"/>
        </w:rPr>
        <w:t> </w:t>
      </w:r>
      <w:r>
        <w:rPr/>
        <w:t>reconocen</w:t>
      </w:r>
      <w:r>
        <w:rPr>
          <w:spacing w:val="23"/>
        </w:rPr>
        <w:t> </w:t>
      </w:r>
      <w:r>
        <w:rPr/>
        <w:t>pasivos</w:t>
      </w:r>
      <w:r>
        <w:rPr>
          <w:spacing w:val="23"/>
        </w:rPr>
        <w:t> </w:t>
      </w:r>
      <w:r>
        <w:rPr/>
        <w:t>por</w:t>
      </w:r>
      <w:r>
        <w:rPr>
          <w:spacing w:val="22"/>
        </w:rPr>
        <w:t> </w:t>
      </w:r>
      <w:r>
        <w:rPr/>
        <w:t>impuesto</w:t>
      </w:r>
      <w:r>
        <w:rPr>
          <w:spacing w:val="23"/>
        </w:rPr>
        <w:t> </w:t>
      </w:r>
      <w:r>
        <w:rPr/>
        <w:t>diferido</w:t>
      </w:r>
      <w:r>
        <w:rPr>
          <w:spacing w:val="23"/>
        </w:rPr>
        <w:t> </w:t>
      </w:r>
      <w:r>
        <w:rPr/>
        <w:t>para</w:t>
      </w:r>
      <w:r>
        <w:rPr>
          <w:spacing w:val="23"/>
        </w:rPr>
        <w:t> </w:t>
      </w:r>
      <w:r>
        <w:rPr/>
        <w:t>todas</w:t>
      </w:r>
      <w:r>
        <w:rPr>
          <w:spacing w:val="22"/>
        </w:rPr>
        <w:t> </w:t>
      </w:r>
      <w:r>
        <w:rPr/>
        <w:t>las</w:t>
      </w:r>
      <w:r>
        <w:rPr>
          <w:spacing w:val="22"/>
        </w:rPr>
        <w:t> </w:t>
      </w:r>
      <w:r>
        <w:rPr/>
        <w:t>diferencias</w:t>
      </w:r>
      <w:r>
        <w:rPr>
          <w:spacing w:val="22"/>
        </w:rPr>
        <w:t> </w:t>
      </w:r>
      <w:r>
        <w:rPr/>
        <w:t>temporarias</w:t>
      </w:r>
      <w:r>
        <w:rPr>
          <w:spacing w:val="22"/>
        </w:rPr>
        <w:t> </w:t>
      </w:r>
      <w:r>
        <w:rPr>
          <w:spacing w:val="-2"/>
        </w:rPr>
        <w:t>imponibles,</w:t>
      </w:r>
    </w:p>
    <w:p>
      <w:pPr>
        <w:pStyle w:val="BodyText"/>
        <w:spacing w:after="0"/>
        <w:jc w:val="both"/>
        <w:sectPr>
          <w:pgSz w:w="11910" w:h="16840"/>
          <w:pgMar w:header="694" w:footer="690" w:top="1920" w:bottom="880" w:left="708" w:right="425"/>
        </w:sectPr>
      </w:pPr>
    </w:p>
    <w:p>
      <w:pPr>
        <w:pStyle w:val="BodyText"/>
        <w:spacing w:line="247" w:lineRule="auto" w:before="187"/>
        <w:ind w:left="1278" w:right="856"/>
        <w:jc w:val="both"/>
      </w:pPr>
      <w:r>
        <w:rPr/>
        <w:t>excepto aquellas derivadas del reconocimiento inicial de fondos de comercio o de otros activos y pasivos en una operación que no afecta ni al resultado fiscal ni al resultado contable y no es una combinación de negocio.</w:t>
      </w:r>
    </w:p>
    <w:p>
      <w:pPr>
        <w:pStyle w:val="BodyText"/>
        <w:spacing w:before="8"/>
      </w:pPr>
    </w:p>
    <w:p>
      <w:pPr>
        <w:pStyle w:val="BodyText"/>
        <w:spacing w:line="247" w:lineRule="auto"/>
        <w:ind w:left="1278" w:right="843"/>
        <w:jc w:val="both"/>
      </w:pPr>
      <w:r>
        <w:rPr/>
        <w:t>De acuerdo con el principio de prudencia, sólo se reconocen los activos por impuesto diferido en la</w:t>
      </w:r>
      <w:r>
        <w:rPr>
          <w:spacing w:val="-8"/>
        </w:rPr>
        <w:t> </w:t>
      </w:r>
      <w:r>
        <w:rPr/>
        <w:t>medida</w:t>
      </w:r>
      <w:r>
        <w:rPr>
          <w:spacing w:val="-8"/>
        </w:rPr>
        <w:t> </w:t>
      </w:r>
      <w:r>
        <w:rPr/>
        <w:t>en</w:t>
      </w:r>
      <w:r>
        <w:rPr>
          <w:spacing w:val="-7"/>
        </w:rPr>
        <w:t> </w:t>
      </w:r>
      <w:r>
        <w:rPr/>
        <w:t>que</w:t>
      </w:r>
      <w:r>
        <w:rPr>
          <w:spacing w:val="-8"/>
        </w:rPr>
        <w:t> </w:t>
      </w:r>
      <w:r>
        <w:rPr/>
        <w:t>se</w:t>
      </w:r>
      <w:r>
        <w:rPr>
          <w:spacing w:val="-9"/>
        </w:rPr>
        <w:t> </w:t>
      </w:r>
      <w:r>
        <w:rPr/>
        <w:t>estima</w:t>
      </w:r>
      <w:r>
        <w:rPr>
          <w:spacing w:val="-7"/>
        </w:rPr>
        <w:t> </w:t>
      </w:r>
      <w:r>
        <w:rPr/>
        <w:t>probable</w:t>
      </w:r>
      <w:r>
        <w:rPr>
          <w:spacing w:val="-8"/>
        </w:rPr>
        <w:t> </w:t>
      </w:r>
      <w:r>
        <w:rPr/>
        <w:t>la</w:t>
      </w:r>
      <w:r>
        <w:rPr>
          <w:spacing w:val="-8"/>
        </w:rPr>
        <w:t> </w:t>
      </w:r>
      <w:r>
        <w:rPr/>
        <w:t>obtención</w:t>
      </w:r>
      <w:r>
        <w:rPr>
          <w:spacing w:val="-8"/>
        </w:rPr>
        <w:t> </w:t>
      </w:r>
      <w:r>
        <w:rPr/>
        <w:t>de</w:t>
      </w:r>
      <w:r>
        <w:rPr>
          <w:spacing w:val="-8"/>
        </w:rPr>
        <w:t> </w:t>
      </w:r>
      <w:r>
        <w:rPr/>
        <w:t>ganancias</w:t>
      </w:r>
      <w:r>
        <w:rPr>
          <w:spacing w:val="-9"/>
        </w:rPr>
        <w:t> </w:t>
      </w:r>
      <w:r>
        <w:rPr/>
        <w:t>futuras</w:t>
      </w:r>
      <w:r>
        <w:rPr>
          <w:spacing w:val="-9"/>
        </w:rPr>
        <w:t> </w:t>
      </w:r>
      <w:r>
        <w:rPr/>
        <w:t>que</w:t>
      </w:r>
      <w:r>
        <w:rPr>
          <w:spacing w:val="-8"/>
        </w:rPr>
        <w:t> </w:t>
      </w:r>
      <w:r>
        <w:rPr/>
        <w:t>permitan</w:t>
      </w:r>
      <w:r>
        <w:rPr>
          <w:spacing w:val="-8"/>
        </w:rPr>
        <w:t> </w:t>
      </w:r>
      <w:r>
        <w:rPr/>
        <w:t>su</w:t>
      </w:r>
      <w:r>
        <w:rPr>
          <w:spacing w:val="66"/>
        </w:rPr>
        <w:t> </w:t>
      </w:r>
      <w:r>
        <w:rPr/>
        <w:t>aplicación. Sin perjuicio de lo anterior, no se reconocen los activos por impuesto diferido correspondientes a diferencias</w:t>
      </w:r>
      <w:r>
        <w:rPr>
          <w:spacing w:val="-13"/>
        </w:rPr>
        <w:t> </w:t>
      </w:r>
      <w:r>
        <w:rPr/>
        <w:t>temporarias</w:t>
      </w:r>
      <w:r>
        <w:rPr>
          <w:spacing w:val="-13"/>
        </w:rPr>
        <w:t> </w:t>
      </w:r>
      <w:r>
        <w:rPr/>
        <w:t>deducibles</w:t>
      </w:r>
      <w:r>
        <w:rPr>
          <w:spacing w:val="-13"/>
        </w:rPr>
        <w:t> </w:t>
      </w:r>
      <w:r>
        <w:rPr/>
        <w:t>derivadas</w:t>
      </w:r>
      <w:r>
        <w:rPr>
          <w:spacing w:val="-13"/>
        </w:rPr>
        <w:t> </w:t>
      </w:r>
      <w:r>
        <w:rPr/>
        <w:t>del</w:t>
      </w:r>
      <w:r>
        <w:rPr>
          <w:spacing w:val="-12"/>
        </w:rPr>
        <w:t> </w:t>
      </w:r>
      <w:r>
        <w:rPr/>
        <w:t>reconocimiento</w:t>
      </w:r>
      <w:r>
        <w:rPr>
          <w:spacing w:val="-12"/>
        </w:rPr>
        <w:t> </w:t>
      </w:r>
      <w:r>
        <w:rPr/>
        <w:t>inicial</w:t>
      </w:r>
      <w:r>
        <w:rPr>
          <w:spacing w:val="-13"/>
        </w:rPr>
        <w:t> </w:t>
      </w:r>
      <w:r>
        <w:rPr/>
        <w:t>de</w:t>
      </w:r>
      <w:r>
        <w:rPr>
          <w:spacing w:val="-12"/>
        </w:rPr>
        <w:t> </w:t>
      </w:r>
      <w:r>
        <w:rPr/>
        <w:t>activos</w:t>
      </w:r>
      <w:r>
        <w:rPr>
          <w:spacing w:val="-12"/>
        </w:rPr>
        <w:t> </w:t>
      </w:r>
      <w:r>
        <w:rPr/>
        <w:t>y</w:t>
      </w:r>
      <w:r>
        <w:rPr>
          <w:spacing w:val="-13"/>
        </w:rPr>
        <w:t> </w:t>
      </w:r>
      <w:r>
        <w:rPr/>
        <w:t>pasivos</w:t>
      </w:r>
      <w:r>
        <w:rPr>
          <w:spacing w:val="-12"/>
        </w:rPr>
        <w:t> </w:t>
      </w:r>
      <w:r>
        <w:rPr/>
        <w:t>en</w:t>
      </w:r>
      <w:r>
        <w:rPr>
          <w:spacing w:val="-12"/>
        </w:rPr>
        <w:t> </w:t>
      </w:r>
      <w:r>
        <w:rPr/>
        <w:t>una operación que no afecta ni al resultado fiscal ni al resultado contable y</w:t>
      </w:r>
      <w:r>
        <w:rPr>
          <w:spacing w:val="40"/>
        </w:rPr>
        <w:t> </w:t>
      </w:r>
      <w:r>
        <w:rPr/>
        <w:t>no es una combinación de </w:t>
      </w:r>
      <w:r>
        <w:rPr>
          <w:spacing w:val="-2"/>
        </w:rPr>
        <w:t>negocios.</w:t>
      </w:r>
    </w:p>
    <w:p>
      <w:pPr>
        <w:pStyle w:val="BodyText"/>
      </w:pPr>
    </w:p>
    <w:p>
      <w:pPr>
        <w:pStyle w:val="BodyText"/>
        <w:spacing w:line="247" w:lineRule="auto"/>
        <w:ind w:left="1278" w:right="851"/>
        <w:jc w:val="both"/>
      </w:pPr>
      <w:r>
        <w:rPr/>
        <w:t>Tanto el gasto o el ingreso por impuesto corriente como diferido se inscriben en la cuenta de pérdidas y ganancias. No obstante, los activos y pasivos por impuesto corriente y diferido que se relacionan</w:t>
      </w:r>
      <w:r>
        <w:rPr>
          <w:spacing w:val="-13"/>
        </w:rPr>
        <w:t> </w:t>
      </w:r>
      <w:r>
        <w:rPr/>
        <w:t>con</w:t>
      </w:r>
      <w:r>
        <w:rPr>
          <w:spacing w:val="-13"/>
        </w:rPr>
        <w:t> </w:t>
      </w:r>
      <w:r>
        <w:rPr/>
        <w:t>una</w:t>
      </w:r>
      <w:r>
        <w:rPr>
          <w:spacing w:val="-14"/>
        </w:rPr>
        <w:t> </w:t>
      </w:r>
      <w:r>
        <w:rPr/>
        <w:t>transacción</w:t>
      </w:r>
      <w:r>
        <w:rPr>
          <w:spacing w:val="-12"/>
        </w:rPr>
        <w:t> </w:t>
      </w:r>
      <w:r>
        <w:rPr/>
        <w:t>o</w:t>
      </w:r>
      <w:r>
        <w:rPr>
          <w:spacing w:val="-13"/>
        </w:rPr>
        <w:t> </w:t>
      </w:r>
      <w:r>
        <w:rPr/>
        <w:t>suceso</w:t>
      </w:r>
      <w:r>
        <w:rPr>
          <w:spacing w:val="-12"/>
        </w:rPr>
        <w:t> </w:t>
      </w:r>
      <w:r>
        <w:rPr/>
        <w:t>reconocido</w:t>
      </w:r>
      <w:r>
        <w:rPr>
          <w:spacing w:val="-13"/>
        </w:rPr>
        <w:t> </w:t>
      </w:r>
      <w:r>
        <w:rPr/>
        <w:t>directamente</w:t>
      </w:r>
      <w:r>
        <w:rPr>
          <w:spacing w:val="-10"/>
        </w:rPr>
        <w:t> </w:t>
      </w:r>
      <w:r>
        <w:rPr/>
        <w:t>en</w:t>
      </w:r>
      <w:r>
        <w:rPr>
          <w:spacing w:val="-14"/>
        </w:rPr>
        <w:t> </w:t>
      </w:r>
      <w:r>
        <w:rPr/>
        <w:t>una</w:t>
      </w:r>
      <w:r>
        <w:rPr>
          <w:spacing w:val="-13"/>
        </w:rPr>
        <w:t> </w:t>
      </w:r>
      <w:r>
        <w:rPr/>
        <w:t>partida</w:t>
      </w:r>
      <w:r>
        <w:rPr>
          <w:spacing w:val="-14"/>
        </w:rPr>
        <w:t> </w:t>
      </w:r>
      <w:r>
        <w:rPr/>
        <w:t>de</w:t>
      </w:r>
      <w:r>
        <w:rPr>
          <w:spacing w:val="-13"/>
        </w:rPr>
        <w:t> </w:t>
      </w:r>
      <w:r>
        <w:rPr/>
        <w:t>patrimonio</w:t>
      </w:r>
      <w:r>
        <w:rPr>
          <w:spacing w:val="-13"/>
        </w:rPr>
        <w:t> </w:t>
      </w:r>
      <w:r>
        <w:rPr/>
        <w:t>neto se reconocen con cargo o abono a dicha partida.</w:t>
      </w:r>
    </w:p>
    <w:p>
      <w:pPr>
        <w:pStyle w:val="BodyText"/>
        <w:spacing w:before="6"/>
      </w:pPr>
    </w:p>
    <w:p>
      <w:pPr>
        <w:pStyle w:val="BodyText"/>
        <w:spacing w:line="247" w:lineRule="auto"/>
        <w:ind w:left="1278" w:right="843"/>
        <w:jc w:val="both"/>
      </w:pPr>
      <w:r>
        <w:rPr/>
        <w:t>En</w:t>
      </w:r>
      <w:r>
        <w:rPr>
          <w:spacing w:val="-7"/>
        </w:rPr>
        <w:t> </w:t>
      </w:r>
      <w:r>
        <w:rPr/>
        <w:t>cada</w:t>
      </w:r>
      <w:r>
        <w:rPr>
          <w:spacing w:val="-8"/>
        </w:rPr>
        <w:t> </w:t>
      </w:r>
      <w:r>
        <w:rPr/>
        <w:t>cierre</w:t>
      </w:r>
      <w:r>
        <w:rPr>
          <w:spacing w:val="-8"/>
        </w:rPr>
        <w:t> </w:t>
      </w:r>
      <w:r>
        <w:rPr/>
        <w:t>contable</w:t>
      </w:r>
      <w:r>
        <w:rPr>
          <w:spacing w:val="-8"/>
        </w:rPr>
        <w:t> </w:t>
      </w:r>
      <w:r>
        <w:rPr/>
        <w:t>se</w:t>
      </w:r>
      <w:r>
        <w:rPr>
          <w:spacing w:val="-9"/>
        </w:rPr>
        <w:t> </w:t>
      </w:r>
      <w:r>
        <w:rPr/>
        <w:t>revisan</w:t>
      </w:r>
      <w:r>
        <w:rPr>
          <w:spacing w:val="-8"/>
        </w:rPr>
        <w:t> </w:t>
      </w:r>
      <w:r>
        <w:rPr/>
        <w:t>los</w:t>
      </w:r>
      <w:r>
        <w:rPr>
          <w:spacing w:val="-8"/>
        </w:rPr>
        <w:t> </w:t>
      </w:r>
      <w:r>
        <w:rPr/>
        <w:t>impuestos</w:t>
      </w:r>
      <w:r>
        <w:rPr>
          <w:spacing w:val="-8"/>
        </w:rPr>
        <w:t> </w:t>
      </w:r>
      <w:r>
        <w:rPr/>
        <w:t>diferidos</w:t>
      </w:r>
      <w:r>
        <w:rPr>
          <w:spacing w:val="-8"/>
        </w:rPr>
        <w:t> </w:t>
      </w:r>
      <w:r>
        <w:rPr/>
        <w:t>registrados</w:t>
      </w:r>
      <w:r>
        <w:rPr>
          <w:spacing w:val="-8"/>
        </w:rPr>
        <w:t> </w:t>
      </w:r>
      <w:r>
        <w:rPr/>
        <w:t>con</w:t>
      </w:r>
      <w:r>
        <w:rPr>
          <w:spacing w:val="-7"/>
        </w:rPr>
        <w:t> </w:t>
      </w:r>
      <w:r>
        <w:rPr/>
        <w:t>objeto</w:t>
      </w:r>
      <w:r>
        <w:rPr>
          <w:spacing w:val="-9"/>
        </w:rPr>
        <w:t> </w:t>
      </w:r>
      <w:r>
        <w:rPr/>
        <w:t>de</w:t>
      </w:r>
      <w:r>
        <w:rPr>
          <w:spacing w:val="-8"/>
        </w:rPr>
        <w:t> </w:t>
      </w:r>
      <w:r>
        <w:rPr/>
        <w:t>comprobar</w:t>
      </w:r>
      <w:r>
        <w:rPr>
          <w:spacing w:val="-8"/>
        </w:rPr>
        <w:t> </w:t>
      </w:r>
      <w:r>
        <w:rPr/>
        <w:t>que se mantienen vigentes, efectuándose las oportunas correcciones a los mismos. Asimismo, se evalúan los activos por impuesto diferido reconocidos y aquéllos no registrados anteriormente, dándose de baja aquellos activos reconocidos si ya no resulta probable su recuperación, o registrándose</w:t>
      </w:r>
      <w:r>
        <w:rPr>
          <w:spacing w:val="-7"/>
        </w:rPr>
        <w:t> </w:t>
      </w:r>
      <w:r>
        <w:rPr/>
        <w:t>cualquier</w:t>
      </w:r>
      <w:r>
        <w:rPr>
          <w:spacing w:val="-8"/>
        </w:rPr>
        <w:t> </w:t>
      </w:r>
      <w:r>
        <w:rPr/>
        <w:t>activo</w:t>
      </w:r>
      <w:r>
        <w:rPr>
          <w:spacing w:val="-7"/>
        </w:rPr>
        <w:t> </w:t>
      </w:r>
      <w:r>
        <w:rPr/>
        <w:t>de</w:t>
      </w:r>
      <w:r>
        <w:rPr>
          <w:spacing w:val="-8"/>
        </w:rPr>
        <w:t> </w:t>
      </w:r>
      <w:r>
        <w:rPr/>
        <w:t>esta</w:t>
      </w:r>
      <w:r>
        <w:rPr>
          <w:spacing w:val="-9"/>
        </w:rPr>
        <w:t> </w:t>
      </w:r>
      <w:r>
        <w:rPr/>
        <w:t>naturaleza</w:t>
      </w:r>
      <w:r>
        <w:rPr>
          <w:spacing w:val="-8"/>
        </w:rPr>
        <w:t> </w:t>
      </w:r>
      <w:r>
        <w:rPr/>
        <w:t>no</w:t>
      </w:r>
      <w:r>
        <w:rPr>
          <w:spacing w:val="-7"/>
        </w:rPr>
        <w:t> </w:t>
      </w:r>
      <w:r>
        <w:rPr/>
        <w:t>reconocido</w:t>
      </w:r>
      <w:r>
        <w:rPr>
          <w:spacing w:val="-8"/>
        </w:rPr>
        <w:t> </w:t>
      </w:r>
      <w:r>
        <w:rPr/>
        <w:t>anteriormente,</w:t>
      </w:r>
      <w:r>
        <w:rPr>
          <w:spacing w:val="-8"/>
        </w:rPr>
        <w:t> </w:t>
      </w:r>
      <w:r>
        <w:rPr/>
        <w:t>en</w:t>
      </w:r>
      <w:r>
        <w:rPr>
          <w:spacing w:val="-8"/>
        </w:rPr>
        <w:t> </w:t>
      </w:r>
      <w:r>
        <w:rPr/>
        <w:t>la</w:t>
      </w:r>
      <w:r>
        <w:rPr>
          <w:spacing w:val="-8"/>
        </w:rPr>
        <w:t> </w:t>
      </w:r>
      <w:r>
        <w:rPr/>
        <w:t>medida</w:t>
      </w:r>
      <w:r>
        <w:rPr>
          <w:spacing w:val="-8"/>
        </w:rPr>
        <w:t> </w:t>
      </w:r>
      <w:r>
        <w:rPr/>
        <w:t>en</w:t>
      </w:r>
      <w:r>
        <w:rPr>
          <w:spacing w:val="-8"/>
        </w:rPr>
        <w:t> </w:t>
      </w:r>
      <w:r>
        <w:rPr/>
        <w:t>que pase a ser probable su recuperación con beneficios fiscales futuros.</w:t>
      </w:r>
    </w:p>
    <w:p>
      <w:pPr>
        <w:pStyle w:val="BodyText"/>
      </w:pPr>
    </w:p>
    <w:p>
      <w:pPr>
        <w:pStyle w:val="ListParagraph"/>
        <w:numPr>
          <w:ilvl w:val="0"/>
          <w:numId w:val="5"/>
        </w:numPr>
        <w:tabs>
          <w:tab w:pos="1276" w:val="left" w:leader="none"/>
        </w:tabs>
        <w:spacing w:line="240" w:lineRule="auto" w:before="1" w:after="0"/>
        <w:ind w:left="1276" w:right="0" w:hanging="281"/>
        <w:jc w:val="left"/>
        <w:rPr>
          <w:sz w:val="22"/>
        </w:rPr>
      </w:pPr>
      <w:r>
        <w:rPr>
          <w:spacing w:val="-2"/>
          <w:sz w:val="22"/>
        </w:rPr>
        <w:t>Transacciones</w:t>
      </w:r>
      <w:r>
        <w:rPr>
          <w:sz w:val="22"/>
        </w:rPr>
        <w:t> </w:t>
      </w:r>
      <w:r>
        <w:rPr>
          <w:spacing w:val="-2"/>
          <w:sz w:val="22"/>
        </w:rPr>
        <w:t>entre</w:t>
      </w:r>
      <w:r>
        <w:rPr>
          <w:spacing w:val="2"/>
          <w:sz w:val="22"/>
        </w:rPr>
        <w:t> </w:t>
      </w:r>
      <w:r>
        <w:rPr>
          <w:spacing w:val="-2"/>
          <w:sz w:val="22"/>
        </w:rPr>
        <w:t>partes</w:t>
      </w:r>
      <w:r>
        <w:rPr>
          <w:spacing w:val="1"/>
          <w:sz w:val="22"/>
        </w:rPr>
        <w:t> </w:t>
      </w:r>
      <w:r>
        <w:rPr>
          <w:spacing w:val="-2"/>
          <w:sz w:val="22"/>
        </w:rPr>
        <w:t>vinculadas</w:t>
      </w:r>
    </w:p>
    <w:p>
      <w:pPr>
        <w:pStyle w:val="BodyText"/>
        <w:spacing w:before="15"/>
      </w:pPr>
    </w:p>
    <w:p>
      <w:pPr>
        <w:pStyle w:val="BodyText"/>
        <w:spacing w:line="247" w:lineRule="auto" w:before="1"/>
        <w:ind w:left="1278" w:right="844"/>
        <w:jc w:val="both"/>
      </w:pPr>
      <w:r>
        <w:rPr/>
        <w:t>Las operaciones entre partes vinculadas, con independencia del grado de vinculación, se contabilizan de acuerdo con las normas generales. En consecuencia, con carácter general, los elementos</w:t>
      </w:r>
      <w:r>
        <w:rPr>
          <w:spacing w:val="-6"/>
        </w:rPr>
        <w:t> </w:t>
      </w:r>
      <w:r>
        <w:rPr/>
        <w:t>objeto</w:t>
      </w:r>
      <w:r>
        <w:rPr>
          <w:spacing w:val="-6"/>
        </w:rPr>
        <w:t> </w:t>
      </w:r>
      <w:r>
        <w:rPr/>
        <w:t>de</w:t>
      </w:r>
      <w:r>
        <w:rPr>
          <w:spacing w:val="-7"/>
        </w:rPr>
        <w:t> </w:t>
      </w:r>
      <w:r>
        <w:rPr/>
        <w:t>transacción</w:t>
      </w:r>
      <w:r>
        <w:rPr>
          <w:spacing w:val="-6"/>
        </w:rPr>
        <w:t> </w:t>
      </w:r>
      <w:r>
        <w:rPr/>
        <w:t>se</w:t>
      </w:r>
      <w:r>
        <w:rPr>
          <w:spacing w:val="-7"/>
        </w:rPr>
        <w:t> </w:t>
      </w:r>
      <w:r>
        <w:rPr/>
        <w:t>contabilizan</w:t>
      </w:r>
      <w:r>
        <w:rPr>
          <w:spacing w:val="-7"/>
        </w:rPr>
        <w:t> </w:t>
      </w:r>
      <w:r>
        <w:rPr/>
        <w:t>en</w:t>
      </w:r>
      <w:r>
        <w:rPr>
          <w:spacing w:val="-7"/>
        </w:rPr>
        <w:t> </w:t>
      </w:r>
      <w:r>
        <w:rPr/>
        <w:t>el</w:t>
      </w:r>
      <w:r>
        <w:rPr>
          <w:spacing w:val="-8"/>
        </w:rPr>
        <w:t> </w:t>
      </w:r>
      <w:r>
        <w:rPr/>
        <w:t>momento</w:t>
      </w:r>
      <w:r>
        <w:rPr>
          <w:spacing w:val="-6"/>
        </w:rPr>
        <w:t> </w:t>
      </w:r>
      <w:r>
        <w:rPr/>
        <w:t>inicial</w:t>
      </w:r>
      <w:r>
        <w:rPr>
          <w:spacing w:val="-7"/>
        </w:rPr>
        <w:t> </w:t>
      </w:r>
      <w:r>
        <w:rPr/>
        <w:t>por</w:t>
      </w:r>
      <w:r>
        <w:rPr>
          <w:spacing w:val="-7"/>
        </w:rPr>
        <w:t> </w:t>
      </w:r>
      <w:r>
        <w:rPr/>
        <w:t>su</w:t>
      </w:r>
      <w:r>
        <w:rPr>
          <w:spacing w:val="-8"/>
        </w:rPr>
        <w:t> </w:t>
      </w:r>
      <w:r>
        <w:rPr/>
        <w:t>valor</w:t>
      </w:r>
      <w:r>
        <w:rPr>
          <w:spacing w:val="-6"/>
        </w:rPr>
        <w:t> </w:t>
      </w:r>
      <w:r>
        <w:rPr/>
        <w:t>razonable.</w:t>
      </w:r>
      <w:r>
        <w:rPr>
          <w:spacing w:val="-8"/>
        </w:rPr>
        <w:t> </w:t>
      </w:r>
      <w:r>
        <w:rPr/>
        <w:t>Si</w:t>
      </w:r>
      <w:r>
        <w:rPr>
          <w:spacing w:val="28"/>
        </w:rPr>
        <w:t> </w:t>
      </w:r>
      <w:r>
        <w:rPr/>
        <w:t>el precio</w:t>
      </w:r>
      <w:r>
        <w:rPr>
          <w:spacing w:val="-7"/>
        </w:rPr>
        <w:t> </w:t>
      </w:r>
      <w:r>
        <w:rPr/>
        <w:t>acordado</w:t>
      </w:r>
      <w:r>
        <w:rPr>
          <w:spacing w:val="-6"/>
        </w:rPr>
        <w:t> </w:t>
      </w:r>
      <w:r>
        <w:rPr/>
        <w:t>en</w:t>
      </w:r>
      <w:r>
        <w:rPr>
          <w:spacing w:val="-8"/>
        </w:rPr>
        <w:t> </w:t>
      </w:r>
      <w:r>
        <w:rPr/>
        <w:t>una</w:t>
      </w:r>
      <w:r>
        <w:rPr>
          <w:spacing w:val="-7"/>
        </w:rPr>
        <w:t> </w:t>
      </w:r>
      <w:r>
        <w:rPr/>
        <w:t>operación</w:t>
      </w:r>
      <w:r>
        <w:rPr>
          <w:spacing w:val="-6"/>
        </w:rPr>
        <w:t> </w:t>
      </w:r>
      <w:r>
        <w:rPr/>
        <w:t>difiere</w:t>
      </w:r>
      <w:r>
        <w:rPr>
          <w:spacing w:val="-7"/>
        </w:rPr>
        <w:t> </w:t>
      </w:r>
      <w:r>
        <w:rPr/>
        <w:t>de</w:t>
      </w:r>
      <w:r>
        <w:rPr>
          <w:spacing w:val="-7"/>
        </w:rPr>
        <w:t> </w:t>
      </w:r>
      <w:r>
        <w:rPr/>
        <w:t>su</w:t>
      </w:r>
      <w:r>
        <w:rPr>
          <w:spacing w:val="-6"/>
        </w:rPr>
        <w:t> </w:t>
      </w:r>
      <w:r>
        <w:rPr/>
        <w:t>valor</w:t>
      </w:r>
      <w:r>
        <w:rPr>
          <w:spacing w:val="-7"/>
        </w:rPr>
        <w:t> </w:t>
      </w:r>
      <w:r>
        <w:rPr/>
        <w:t>razonable,</w:t>
      </w:r>
      <w:r>
        <w:rPr>
          <w:spacing w:val="-6"/>
        </w:rPr>
        <w:t> </w:t>
      </w:r>
      <w:r>
        <w:rPr/>
        <w:t>la</w:t>
      </w:r>
      <w:r>
        <w:rPr>
          <w:spacing w:val="-7"/>
        </w:rPr>
        <w:t> </w:t>
      </w:r>
      <w:r>
        <w:rPr/>
        <w:t>diferencia</w:t>
      </w:r>
      <w:r>
        <w:rPr>
          <w:spacing w:val="-7"/>
        </w:rPr>
        <w:t> </w:t>
      </w:r>
      <w:r>
        <w:rPr/>
        <w:t>se</w:t>
      </w:r>
      <w:r>
        <w:rPr>
          <w:spacing w:val="-7"/>
        </w:rPr>
        <w:t> </w:t>
      </w:r>
      <w:r>
        <w:rPr/>
        <w:t>registra</w:t>
      </w:r>
      <w:r>
        <w:rPr>
          <w:spacing w:val="-7"/>
        </w:rPr>
        <w:t> </w:t>
      </w:r>
      <w:r>
        <w:rPr/>
        <w:t>atendiendo a la realidad económica de la operación. La valoración posterior se realiza de acuerdo con lo previsto en las correspondientes normas.</w:t>
      </w:r>
    </w:p>
    <w:p>
      <w:pPr>
        <w:pStyle w:val="BodyText"/>
      </w:pPr>
    </w:p>
    <w:p>
      <w:pPr>
        <w:pStyle w:val="ListParagraph"/>
        <w:numPr>
          <w:ilvl w:val="0"/>
          <w:numId w:val="5"/>
        </w:numPr>
        <w:tabs>
          <w:tab w:pos="1276" w:val="left" w:leader="none"/>
        </w:tabs>
        <w:spacing w:line="240" w:lineRule="auto" w:before="0" w:after="0"/>
        <w:ind w:left="1276" w:right="0" w:hanging="281"/>
        <w:jc w:val="left"/>
        <w:rPr>
          <w:sz w:val="22"/>
        </w:rPr>
      </w:pPr>
      <w:r>
        <w:rPr>
          <w:sz w:val="22"/>
        </w:rPr>
        <w:t>Ingresos</w:t>
      </w:r>
      <w:r>
        <w:rPr>
          <w:spacing w:val="-10"/>
          <w:sz w:val="22"/>
        </w:rPr>
        <w:t> </w:t>
      </w:r>
      <w:r>
        <w:rPr>
          <w:sz w:val="22"/>
        </w:rPr>
        <w:t>y</w:t>
      </w:r>
      <w:r>
        <w:rPr>
          <w:spacing w:val="-7"/>
          <w:sz w:val="22"/>
        </w:rPr>
        <w:t> </w:t>
      </w:r>
      <w:r>
        <w:rPr>
          <w:spacing w:val="-2"/>
          <w:sz w:val="22"/>
        </w:rPr>
        <w:t>gastos</w:t>
      </w:r>
    </w:p>
    <w:p>
      <w:pPr>
        <w:pStyle w:val="BodyText"/>
        <w:spacing w:before="16"/>
      </w:pPr>
    </w:p>
    <w:p>
      <w:pPr>
        <w:pStyle w:val="BodyText"/>
        <w:ind w:left="1430"/>
        <w:jc w:val="both"/>
      </w:pPr>
      <w:r>
        <w:rPr/>
        <w:t>Para</w:t>
      </w:r>
      <w:r>
        <w:rPr>
          <w:spacing w:val="-10"/>
        </w:rPr>
        <w:t> </w:t>
      </w:r>
      <w:r>
        <w:rPr/>
        <w:t>determinar</w:t>
      </w:r>
      <w:r>
        <w:rPr>
          <w:spacing w:val="-9"/>
        </w:rPr>
        <w:t> </w:t>
      </w:r>
      <w:r>
        <w:rPr/>
        <w:t>si</w:t>
      </w:r>
      <w:r>
        <w:rPr>
          <w:spacing w:val="-9"/>
        </w:rPr>
        <w:t> </w:t>
      </w:r>
      <w:r>
        <w:rPr/>
        <w:t>se</w:t>
      </w:r>
      <w:r>
        <w:rPr>
          <w:spacing w:val="-10"/>
        </w:rPr>
        <w:t> </w:t>
      </w:r>
      <w:r>
        <w:rPr/>
        <w:t>deben</w:t>
      </w:r>
      <w:r>
        <w:rPr>
          <w:spacing w:val="-9"/>
        </w:rPr>
        <w:t> </w:t>
      </w:r>
      <w:r>
        <w:rPr/>
        <w:t>reconocer</w:t>
      </w:r>
      <w:r>
        <w:rPr>
          <w:spacing w:val="-9"/>
        </w:rPr>
        <w:t> </w:t>
      </w:r>
      <w:r>
        <w:rPr/>
        <w:t>los</w:t>
      </w:r>
      <w:r>
        <w:rPr>
          <w:spacing w:val="-9"/>
        </w:rPr>
        <w:t> </w:t>
      </w:r>
      <w:r>
        <w:rPr/>
        <w:t>ingresos,</w:t>
      </w:r>
      <w:r>
        <w:rPr>
          <w:spacing w:val="-9"/>
        </w:rPr>
        <w:t> </w:t>
      </w:r>
      <w:r>
        <w:rPr/>
        <w:t>la</w:t>
      </w:r>
      <w:r>
        <w:rPr>
          <w:spacing w:val="-10"/>
        </w:rPr>
        <w:t> </w:t>
      </w:r>
      <w:r>
        <w:rPr/>
        <w:t>Sociedad</w:t>
      </w:r>
      <w:r>
        <w:rPr>
          <w:spacing w:val="-9"/>
        </w:rPr>
        <w:t> </w:t>
      </w:r>
      <w:r>
        <w:rPr/>
        <w:t>sigue</w:t>
      </w:r>
      <w:r>
        <w:rPr>
          <w:spacing w:val="-9"/>
        </w:rPr>
        <w:t> </w:t>
      </w:r>
      <w:r>
        <w:rPr/>
        <w:t>un</w:t>
      </w:r>
      <w:r>
        <w:rPr>
          <w:spacing w:val="-9"/>
        </w:rPr>
        <w:t> </w:t>
      </w:r>
      <w:r>
        <w:rPr/>
        <w:t>proceso</w:t>
      </w:r>
      <w:r>
        <w:rPr>
          <w:spacing w:val="-9"/>
        </w:rPr>
        <w:t> </w:t>
      </w:r>
      <w:r>
        <w:rPr/>
        <w:t>de</w:t>
      </w:r>
      <w:r>
        <w:rPr>
          <w:spacing w:val="-10"/>
        </w:rPr>
        <w:t> </w:t>
      </w:r>
      <w:r>
        <w:rPr/>
        <w:t>cinco</w:t>
      </w:r>
      <w:r>
        <w:rPr>
          <w:spacing w:val="62"/>
        </w:rPr>
        <w:t> </w:t>
      </w:r>
      <w:r>
        <w:rPr>
          <w:spacing w:val="-2"/>
        </w:rPr>
        <w:t>pasos:</w:t>
      </w:r>
    </w:p>
    <w:p>
      <w:pPr>
        <w:pStyle w:val="BodyText"/>
        <w:spacing w:before="15"/>
      </w:pPr>
    </w:p>
    <w:p>
      <w:pPr>
        <w:pStyle w:val="ListParagraph"/>
        <w:numPr>
          <w:ilvl w:val="0"/>
          <w:numId w:val="9"/>
        </w:numPr>
        <w:tabs>
          <w:tab w:pos="1649" w:val="left" w:leader="none"/>
        </w:tabs>
        <w:spacing w:line="240" w:lineRule="auto" w:before="0" w:after="0"/>
        <w:ind w:left="1649" w:right="0" w:hanging="219"/>
        <w:jc w:val="left"/>
        <w:rPr>
          <w:sz w:val="22"/>
        </w:rPr>
      </w:pPr>
      <w:r>
        <w:rPr>
          <w:sz w:val="22"/>
        </w:rPr>
        <w:t>Identificación</w:t>
      </w:r>
      <w:r>
        <w:rPr>
          <w:spacing w:val="-11"/>
          <w:sz w:val="22"/>
        </w:rPr>
        <w:t> </w:t>
      </w:r>
      <w:r>
        <w:rPr>
          <w:sz w:val="22"/>
        </w:rPr>
        <w:t>del</w:t>
      </w:r>
      <w:r>
        <w:rPr>
          <w:spacing w:val="-11"/>
          <w:sz w:val="22"/>
        </w:rPr>
        <w:t> </w:t>
      </w:r>
      <w:r>
        <w:rPr>
          <w:sz w:val="22"/>
        </w:rPr>
        <w:t>contrato</w:t>
      </w:r>
      <w:r>
        <w:rPr>
          <w:spacing w:val="-8"/>
          <w:sz w:val="22"/>
        </w:rPr>
        <w:t> </w:t>
      </w:r>
      <w:r>
        <w:rPr>
          <w:sz w:val="22"/>
        </w:rPr>
        <w:t>con</w:t>
      </w:r>
      <w:r>
        <w:rPr>
          <w:spacing w:val="-9"/>
          <w:sz w:val="22"/>
        </w:rPr>
        <w:t> </w:t>
      </w:r>
      <w:r>
        <w:rPr>
          <w:sz w:val="22"/>
        </w:rPr>
        <w:t>un</w:t>
      </w:r>
      <w:r>
        <w:rPr>
          <w:spacing w:val="-9"/>
          <w:sz w:val="22"/>
        </w:rPr>
        <w:t> </w:t>
      </w:r>
      <w:r>
        <w:rPr>
          <w:spacing w:val="-2"/>
          <w:sz w:val="22"/>
        </w:rPr>
        <w:t>cliente</w:t>
      </w:r>
    </w:p>
    <w:p>
      <w:pPr>
        <w:pStyle w:val="ListParagraph"/>
        <w:numPr>
          <w:ilvl w:val="0"/>
          <w:numId w:val="9"/>
        </w:numPr>
        <w:tabs>
          <w:tab w:pos="1649" w:val="left" w:leader="none"/>
        </w:tabs>
        <w:spacing w:line="240" w:lineRule="auto" w:before="7" w:after="0"/>
        <w:ind w:left="1649" w:right="0" w:hanging="219"/>
        <w:jc w:val="left"/>
        <w:rPr>
          <w:sz w:val="22"/>
        </w:rPr>
      </w:pPr>
      <w:r>
        <w:rPr>
          <w:sz w:val="22"/>
        </w:rPr>
        <w:t>Identificación</w:t>
      </w:r>
      <w:r>
        <w:rPr>
          <w:spacing w:val="-13"/>
          <w:sz w:val="22"/>
        </w:rPr>
        <w:t> </w:t>
      </w:r>
      <w:r>
        <w:rPr>
          <w:sz w:val="22"/>
        </w:rPr>
        <w:t>de</w:t>
      </w:r>
      <w:r>
        <w:rPr>
          <w:spacing w:val="-12"/>
          <w:sz w:val="22"/>
        </w:rPr>
        <w:t> </w:t>
      </w:r>
      <w:r>
        <w:rPr>
          <w:sz w:val="22"/>
        </w:rPr>
        <w:t>las</w:t>
      </w:r>
      <w:r>
        <w:rPr>
          <w:spacing w:val="-11"/>
          <w:sz w:val="22"/>
        </w:rPr>
        <w:t> </w:t>
      </w:r>
      <w:r>
        <w:rPr>
          <w:sz w:val="22"/>
        </w:rPr>
        <w:t>obligaciones</w:t>
      </w:r>
      <w:r>
        <w:rPr>
          <w:spacing w:val="-12"/>
          <w:sz w:val="22"/>
        </w:rPr>
        <w:t> </w:t>
      </w:r>
      <w:r>
        <w:rPr>
          <w:sz w:val="22"/>
        </w:rPr>
        <w:t>de</w:t>
      </w:r>
      <w:r>
        <w:rPr>
          <w:spacing w:val="-11"/>
          <w:sz w:val="22"/>
        </w:rPr>
        <w:t> </w:t>
      </w:r>
      <w:r>
        <w:rPr>
          <w:spacing w:val="-2"/>
          <w:sz w:val="22"/>
        </w:rPr>
        <w:t>rendimiento</w:t>
      </w:r>
    </w:p>
    <w:p>
      <w:pPr>
        <w:pStyle w:val="ListParagraph"/>
        <w:numPr>
          <w:ilvl w:val="0"/>
          <w:numId w:val="9"/>
        </w:numPr>
        <w:tabs>
          <w:tab w:pos="1649" w:val="left" w:leader="none"/>
        </w:tabs>
        <w:spacing w:line="240" w:lineRule="auto" w:before="6" w:after="0"/>
        <w:ind w:left="1649" w:right="0" w:hanging="219"/>
        <w:jc w:val="left"/>
        <w:rPr>
          <w:sz w:val="22"/>
        </w:rPr>
      </w:pPr>
      <w:r>
        <w:rPr>
          <w:sz w:val="22"/>
        </w:rPr>
        <w:t>Determinación</w:t>
      </w:r>
      <w:r>
        <w:rPr>
          <w:spacing w:val="-8"/>
          <w:sz w:val="22"/>
        </w:rPr>
        <w:t> </w:t>
      </w:r>
      <w:r>
        <w:rPr>
          <w:sz w:val="22"/>
        </w:rPr>
        <w:t>del</w:t>
      </w:r>
      <w:r>
        <w:rPr>
          <w:spacing w:val="-7"/>
          <w:sz w:val="22"/>
        </w:rPr>
        <w:t> </w:t>
      </w:r>
      <w:r>
        <w:rPr>
          <w:sz w:val="22"/>
        </w:rPr>
        <w:t>precio</w:t>
      </w:r>
      <w:r>
        <w:rPr>
          <w:spacing w:val="-11"/>
          <w:sz w:val="22"/>
        </w:rPr>
        <w:t> </w:t>
      </w:r>
      <w:r>
        <w:rPr>
          <w:sz w:val="22"/>
        </w:rPr>
        <w:t>de</w:t>
      </w:r>
      <w:r>
        <w:rPr>
          <w:spacing w:val="-9"/>
          <w:sz w:val="22"/>
        </w:rPr>
        <w:t> </w:t>
      </w:r>
      <w:r>
        <w:rPr>
          <w:sz w:val="22"/>
        </w:rPr>
        <w:t>la</w:t>
      </w:r>
      <w:r>
        <w:rPr>
          <w:spacing w:val="-8"/>
          <w:sz w:val="22"/>
        </w:rPr>
        <w:t> </w:t>
      </w:r>
      <w:r>
        <w:rPr>
          <w:spacing w:val="-2"/>
          <w:sz w:val="22"/>
        </w:rPr>
        <w:t>transacción</w:t>
      </w:r>
    </w:p>
    <w:p>
      <w:pPr>
        <w:pStyle w:val="ListParagraph"/>
        <w:numPr>
          <w:ilvl w:val="0"/>
          <w:numId w:val="9"/>
        </w:numPr>
        <w:tabs>
          <w:tab w:pos="1649" w:val="left" w:leader="none"/>
        </w:tabs>
        <w:spacing w:line="240" w:lineRule="auto" w:before="7" w:after="0"/>
        <w:ind w:left="1649" w:right="0" w:hanging="219"/>
        <w:jc w:val="left"/>
        <w:rPr>
          <w:sz w:val="22"/>
        </w:rPr>
      </w:pPr>
      <w:r>
        <w:rPr>
          <w:sz w:val="22"/>
        </w:rPr>
        <w:t>Asignación</w:t>
      </w:r>
      <w:r>
        <w:rPr>
          <w:spacing w:val="-10"/>
          <w:sz w:val="22"/>
        </w:rPr>
        <w:t> </w:t>
      </w:r>
      <w:r>
        <w:rPr>
          <w:sz w:val="22"/>
        </w:rPr>
        <w:t>del</w:t>
      </w:r>
      <w:r>
        <w:rPr>
          <w:spacing w:val="-9"/>
          <w:sz w:val="22"/>
        </w:rPr>
        <w:t> </w:t>
      </w:r>
      <w:r>
        <w:rPr>
          <w:sz w:val="22"/>
        </w:rPr>
        <w:t>precio</w:t>
      </w:r>
      <w:r>
        <w:rPr>
          <w:spacing w:val="-8"/>
          <w:sz w:val="22"/>
        </w:rPr>
        <w:t> </w:t>
      </w:r>
      <w:r>
        <w:rPr>
          <w:sz w:val="22"/>
        </w:rPr>
        <w:t>de</w:t>
      </w:r>
      <w:r>
        <w:rPr>
          <w:spacing w:val="-11"/>
          <w:sz w:val="22"/>
        </w:rPr>
        <w:t> </w:t>
      </w:r>
      <w:r>
        <w:rPr>
          <w:sz w:val="22"/>
        </w:rPr>
        <w:t>transacción</w:t>
      </w:r>
      <w:r>
        <w:rPr>
          <w:spacing w:val="-7"/>
          <w:sz w:val="22"/>
        </w:rPr>
        <w:t> </w:t>
      </w:r>
      <w:r>
        <w:rPr>
          <w:sz w:val="22"/>
        </w:rPr>
        <w:t>a</w:t>
      </w:r>
      <w:r>
        <w:rPr>
          <w:spacing w:val="-10"/>
          <w:sz w:val="22"/>
        </w:rPr>
        <w:t> </w:t>
      </w:r>
      <w:r>
        <w:rPr>
          <w:sz w:val="22"/>
        </w:rPr>
        <w:t>las</w:t>
      </w:r>
      <w:r>
        <w:rPr>
          <w:spacing w:val="-10"/>
          <w:sz w:val="22"/>
        </w:rPr>
        <w:t> </w:t>
      </w:r>
      <w:r>
        <w:rPr>
          <w:sz w:val="22"/>
        </w:rPr>
        <w:t>obligaciones</w:t>
      </w:r>
      <w:r>
        <w:rPr>
          <w:spacing w:val="-9"/>
          <w:sz w:val="22"/>
        </w:rPr>
        <w:t> </w:t>
      </w:r>
      <w:r>
        <w:rPr>
          <w:sz w:val="22"/>
        </w:rPr>
        <w:t>de</w:t>
      </w:r>
      <w:r>
        <w:rPr>
          <w:spacing w:val="-9"/>
          <w:sz w:val="22"/>
        </w:rPr>
        <w:t> </w:t>
      </w:r>
      <w:r>
        <w:rPr>
          <w:spacing w:val="-2"/>
          <w:sz w:val="22"/>
        </w:rPr>
        <w:t>ejecución</w:t>
      </w:r>
    </w:p>
    <w:p>
      <w:pPr>
        <w:pStyle w:val="ListParagraph"/>
        <w:numPr>
          <w:ilvl w:val="0"/>
          <w:numId w:val="9"/>
        </w:numPr>
        <w:tabs>
          <w:tab w:pos="1649" w:val="left" w:leader="none"/>
        </w:tabs>
        <w:spacing w:line="240" w:lineRule="auto" w:before="8" w:after="0"/>
        <w:ind w:left="1649" w:right="0" w:hanging="219"/>
        <w:jc w:val="left"/>
        <w:rPr>
          <w:sz w:val="22"/>
        </w:rPr>
      </w:pPr>
      <w:r>
        <w:rPr>
          <w:sz w:val="22"/>
        </w:rPr>
        <w:t>Reconocimiento</w:t>
      </w:r>
      <w:r>
        <w:rPr>
          <w:spacing w:val="-13"/>
          <w:sz w:val="22"/>
        </w:rPr>
        <w:t> </w:t>
      </w:r>
      <w:r>
        <w:rPr>
          <w:sz w:val="22"/>
        </w:rPr>
        <w:t>de</w:t>
      </w:r>
      <w:r>
        <w:rPr>
          <w:spacing w:val="-12"/>
          <w:sz w:val="22"/>
        </w:rPr>
        <w:t> </w:t>
      </w:r>
      <w:r>
        <w:rPr>
          <w:sz w:val="22"/>
        </w:rPr>
        <w:t>ingresos</w:t>
      </w:r>
      <w:r>
        <w:rPr>
          <w:spacing w:val="-10"/>
          <w:sz w:val="22"/>
        </w:rPr>
        <w:t> </w:t>
      </w:r>
      <w:r>
        <w:rPr>
          <w:sz w:val="22"/>
        </w:rPr>
        <w:t>cuando</w:t>
      </w:r>
      <w:r>
        <w:rPr>
          <w:spacing w:val="-11"/>
          <w:sz w:val="22"/>
        </w:rPr>
        <w:t> </w:t>
      </w:r>
      <w:r>
        <w:rPr>
          <w:sz w:val="22"/>
        </w:rPr>
        <w:t>se</w:t>
      </w:r>
      <w:r>
        <w:rPr>
          <w:spacing w:val="-12"/>
          <w:sz w:val="22"/>
        </w:rPr>
        <w:t> </w:t>
      </w:r>
      <w:r>
        <w:rPr>
          <w:sz w:val="22"/>
        </w:rPr>
        <w:t>cumplen</w:t>
      </w:r>
      <w:r>
        <w:rPr>
          <w:spacing w:val="-12"/>
          <w:sz w:val="22"/>
        </w:rPr>
        <w:t> </w:t>
      </w:r>
      <w:r>
        <w:rPr>
          <w:sz w:val="22"/>
        </w:rPr>
        <w:t>las</w:t>
      </w:r>
      <w:r>
        <w:rPr>
          <w:spacing w:val="-12"/>
          <w:sz w:val="22"/>
        </w:rPr>
        <w:t> </w:t>
      </w:r>
      <w:r>
        <w:rPr>
          <w:sz w:val="22"/>
        </w:rPr>
        <w:t>obligaciones</w:t>
      </w:r>
      <w:r>
        <w:rPr>
          <w:spacing w:val="-10"/>
          <w:sz w:val="22"/>
        </w:rPr>
        <w:t> </w:t>
      </w:r>
      <w:r>
        <w:rPr>
          <w:sz w:val="22"/>
        </w:rPr>
        <w:t>de</w:t>
      </w:r>
      <w:r>
        <w:rPr>
          <w:spacing w:val="-13"/>
          <w:sz w:val="22"/>
        </w:rPr>
        <w:t> </w:t>
      </w:r>
      <w:r>
        <w:rPr>
          <w:spacing w:val="-2"/>
          <w:sz w:val="22"/>
        </w:rPr>
        <w:t>rendimiento.</w:t>
      </w:r>
    </w:p>
    <w:p>
      <w:pPr>
        <w:pStyle w:val="BodyText"/>
        <w:spacing w:before="15"/>
      </w:pPr>
    </w:p>
    <w:p>
      <w:pPr>
        <w:pStyle w:val="BodyText"/>
        <w:spacing w:line="244" w:lineRule="auto" w:before="1"/>
        <w:ind w:left="1430" w:right="852"/>
        <w:jc w:val="both"/>
      </w:pPr>
      <w:r>
        <w:rPr/>
        <w:t>En todos los casos, el precio total de transacción de un contrato se distribuye entre las diversas obligaciones</w:t>
      </w:r>
      <w:r>
        <w:rPr>
          <w:spacing w:val="-14"/>
        </w:rPr>
        <w:t> </w:t>
      </w:r>
      <w:r>
        <w:rPr/>
        <w:t>de</w:t>
      </w:r>
      <w:r>
        <w:rPr>
          <w:spacing w:val="-14"/>
        </w:rPr>
        <w:t> </w:t>
      </w:r>
      <w:r>
        <w:rPr/>
        <w:t>ejecución</w:t>
      </w:r>
      <w:r>
        <w:rPr>
          <w:spacing w:val="-13"/>
        </w:rPr>
        <w:t> </w:t>
      </w:r>
      <w:r>
        <w:rPr/>
        <w:t>sobre</w:t>
      </w:r>
      <w:r>
        <w:rPr>
          <w:spacing w:val="-14"/>
        </w:rPr>
        <w:t> </w:t>
      </w:r>
      <w:r>
        <w:rPr/>
        <w:t>la</w:t>
      </w:r>
      <w:r>
        <w:rPr>
          <w:spacing w:val="-14"/>
        </w:rPr>
        <w:t> </w:t>
      </w:r>
      <w:r>
        <w:rPr/>
        <w:t>base</w:t>
      </w:r>
      <w:r>
        <w:rPr>
          <w:spacing w:val="-13"/>
        </w:rPr>
        <w:t> </w:t>
      </w:r>
      <w:r>
        <w:rPr/>
        <w:t>de</w:t>
      </w:r>
      <w:r>
        <w:rPr>
          <w:spacing w:val="-14"/>
        </w:rPr>
        <w:t> </w:t>
      </w:r>
      <w:r>
        <w:rPr/>
        <w:t>sus</w:t>
      </w:r>
      <w:r>
        <w:rPr>
          <w:spacing w:val="-14"/>
        </w:rPr>
        <w:t> </w:t>
      </w:r>
      <w:r>
        <w:rPr/>
        <w:t>precios</w:t>
      </w:r>
      <w:r>
        <w:rPr>
          <w:spacing w:val="-13"/>
        </w:rPr>
        <w:t> </w:t>
      </w:r>
      <w:r>
        <w:rPr/>
        <w:t>de</w:t>
      </w:r>
      <w:r>
        <w:rPr>
          <w:spacing w:val="-13"/>
        </w:rPr>
        <w:t> </w:t>
      </w:r>
      <w:r>
        <w:rPr/>
        <w:t>venta</w:t>
      </w:r>
      <w:r>
        <w:rPr>
          <w:spacing w:val="-14"/>
        </w:rPr>
        <w:t> </w:t>
      </w:r>
      <w:r>
        <w:rPr/>
        <w:t>independientes</w:t>
      </w:r>
      <w:r>
        <w:rPr>
          <w:spacing w:val="-14"/>
        </w:rPr>
        <w:t> </w:t>
      </w:r>
      <w:r>
        <w:rPr/>
        <w:t>relativos.</w:t>
      </w:r>
      <w:r>
        <w:rPr>
          <w:spacing w:val="-14"/>
        </w:rPr>
        <w:t> </w:t>
      </w:r>
      <w:r>
        <w:rPr/>
        <w:t>El</w:t>
      </w:r>
      <w:r>
        <w:rPr>
          <w:spacing w:val="-13"/>
        </w:rPr>
        <w:t> </w:t>
      </w:r>
      <w:r>
        <w:rPr/>
        <w:t>precio de transacción de un contrato excluye cualquier cantidad cobrada en nombre de terceros.</w:t>
      </w:r>
    </w:p>
    <w:p>
      <w:pPr>
        <w:pStyle w:val="BodyText"/>
        <w:spacing w:before="9"/>
      </w:pPr>
    </w:p>
    <w:p>
      <w:pPr>
        <w:pStyle w:val="BodyText"/>
        <w:spacing w:line="247" w:lineRule="auto"/>
        <w:ind w:left="1430" w:right="849"/>
        <w:jc w:val="both"/>
      </w:pPr>
      <w:r>
        <w:rPr/>
        <w:t>Los</w:t>
      </w:r>
      <w:r>
        <w:rPr>
          <w:spacing w:val="-12"/>
        </w:rPr>
        <w:t> </w:t>
      </w:r>
      <w:r>
        <w:rPr/>
        <w:t>ingresos</w:t>
      </w:r>
      <w:r>
        <w:rPr>
          <w:spacing w:val="-13"/>
        </w:rPr>
        <w:t> </w:t>
      </w:r>
      <w:r>
        <w:rPr/>
        <w:t>ordinarios</w:t>
      </w:r>
      <w:r>
        <w:rPr>
          <w:spacing w:val="-12"/>
        </w:rPr>
        <w:t> </w:t>
      </w:r>
      <w:r>
        <w:rPr/>
        <w:t>se</w:t>
      </w:r>
      <w:r>
        <w:rPr>
          <w:spacing w:val="-13"/>
        </w:rPr>
        <w:t> </w:t>
      </w:r>
      <w:r>
        <w:rPr/>
        <w:t>reconocen</w:t>
      </w:r>
      <w:r>
        <w:rPr>
          <w:spacing w:val="-11"/>
        </w:rPr>
        <w:t> </w:t>
      </w:r>
      <w:r>
        <w:rPr/>
        <w:t>en</w:t>
      </w:r>
      <w:r>
        <w:rPr>
          <w:spacing w:val="-13"/>
        </w:rPr>
        <w:t> </w:t>
      </w:r>
      <w:r>
        <w:rPr/>
        <w:t>un</w:t>
      </w:r>
      <w:r>
        <w:rPr>
          <w:spacing w:val="-11"/>
        </w:rPr>
        <w:t> </w:t>
      </w:r>
      <w:r>
        <w:rPr/>
        <w:t>momento</w:t>
      </w:r>
      <w:r>
        <w:rPr>
          <w:spacing w:val="-12"/>
        </w:rPr>
        <w:t> </w:t>
      </w:r>
      <w:r>
        <w:rPr/>
        <w:t>determinado</w:t>
      </w:r>
      <w:r>
        <w:rPr>
          <w:spacing w:val="-11"/>
        </w:rPr>
        <w:t> </w:t>
      </w:r>
      <w:r>
        <w:rPr/>
        <w:t>o</w:t>
      </w:r>
      <w:r>
        <w:rPr>
          <w:spacing w:val="-11"/>
        </w:rPr>
        <w:t> </w:t>
      </w:r>
      <w:r>
        <w:rPr/>
        <w:t>a</w:t>
      </w:r>
      <w:r>
        <w:rPr>
          <w:spacing w:val="-12"/>
        </w:rPr>
        <w:t> </w:t>
      </w:r>
      <w:r>
        <w:rPr/>
        <w:t>lo</w:t>
      </w:r>
      <w:r>
        <w:rPr>
          <w:spacing w:val="-12"/>
        </w:rPr>
        <w:t> </w:t>
      </w:r>
      <w:r>
        <w:rPr/>
        <w:t>largo</w:t>
      </w:r>
      <w:r>
        <w:rPr>
          <w:spacing w:val="-12"/>
        </w:rPr>
        <w:t> </w:t>
      </w:r>
      <w:r>
        <w:rPr/>
        <w:t>del</w:t>
      </w:r>
      <w:r>
        <w:rPr>
          <w:spacing w:val="-11"/>
        </w:rPr>
        <w:t> </w:t>
      </w:r>
      <w:r>
        <w:rPr/>
        <w:t>tiempo,</w:t>
      </w:r>
      <w:r>
        <w:rPr>
          <w:spacing w:val="-11"/>
        </w:rPr>
        <w:t> </w:t>
      </w:r>
      <w:r>
        <w:rPr/>
        <w:t>cuando (o como) la Sociedad satisface las obligaciones de rendimiento mediante la transferencia de los bienes o servicios prometidos a sus clientes.</w:t>
      </w:r>
    </w:p>
    <w:p>
      <w:pPr>
        <w:pStyle w:val="BodyText"/>
        <w:spacing w:before="234"/>
        <w:ind w:left="1430"/>
        <w:jc w:val="both"/>
      </w:pPr>
      <w:r>
        <w:rPr/>
        <w:t>Los</w:t>
      </w:r>
      <w:r>
        <w:rPr>
          <w:spacing w:val="-8"/>
        </w:rPr>
        <w:t> </w:t>
      </w:r>
      <w:r>
        <w:rPr/>
        <w:t>ingresos</w:t>
      </w:r>
      <w:r>
        <w:rPr>
          <w:spacing w:val="-9"/>
        </w:rPr>
        <w:t> </w:t>
      </w:r>
      <w:r>
        <w:rPr/>
        <w:t>y</w:t>
      </w:r>
      <w:r>
        <w:rPr>
          <w:spacing w:val="-7"/>
        </w:rPr>
        <w:t> </w:t>
      </w:r>
      <w:r>
        <w:rPr/>
        <w:t>gastos</w:t>
      </w:r>
      <w:r>
        <w:rPr>
          <w:spacing w:val="-7"/>
        </w:rPr>
        <w:t> </w:t>
      </w:r>
      <w:r>
        <w:rPr/>
        <w:t>se</w:t>
      </w:r>
      <w:r>
        <w:rPr>
          <w:spacing w:val="-8"/>
        </w:rPr>
        <w:t> </w:t>
      </w:r>
      <w:r>
        <w:rPr/>
        <w:t>imputan</w:t>
      </w:r>
      <w:r>
        <w:rPr>
          <w:spacing w:val="-7"/>
        </w:rPr>
        <w:t> </w:t>
      </w:r>
      <w:r>
        <w:rPr/>
        <w:t>en</w:t>
      </w:r>
      <w:r>
        <w:rPr>
          <w:spacing w:val="-7"/>
        </w:rPr>
        <w:t> </w:t>
      </w:r>
      <w:r>
        <w:rPr/>
        <w:t>función</w:t>
      </w:r>
      <w:r>
        <w:rPr>
          <w:spacing w:val="-7"/>
        </w:rPr>
        <w:t> </w:t>
      </w:r>
      <w:r>
        <w:rPr/>
        <w:t>del</w:t>
      </w:r>
      <w:r>
        <w:rPr>
          <w:spacing w:val="-7"/>
        </w:rPr>
        <w:t> </w:t>
      </w:r>
      <w:r>
        <w:rPr/>
        <w:t>criterio</w:t>
      </w:r>
      <w:r>
        <w:rPr>
          <w:spacing w:val="-7"/>
        </w:rPr>
        <w:t> </w:t>
      </w:r>
      <w:r>
        <w:rPr/>
        <w:t>de</w:t>
      </w:r>
      <w:r>
        <w:rPr>
          <w:spacing w:val="-8"/>
        </w:rPr>
        <w:t> </w:t>
      </w:r>
      <w:r>
        <w:rPr/>
        <w:t>devengo,</w:t>
      </w:r>
      <w:r>
        <w:rPr>
          <w:spacing w:val="-7"/>
        </w:rPr>
        <w:t> </w:t>
      </w:r>
      <w:r>
        <w:rPr/>
        <w:t>es</w:t>
      </w:r>
      <w:r>
        <w:rPr>
          <w:spacing w:val="-9"/>
        </w:rPr>
        <w:t> </w:t>
      </w:r>
      <w:r>
        <w:rPr/>
        <w:t>decir,</w:t>
      </w:r>
      <w:r>
        <w:rPr>
          <w:spacing w:val="-7"/>
        </w:rPr>
        <w:t> </w:t>
      </w:r>
      <w:r>
        <w:rPr/>
        <w:t>cuando</w:t>
      </w:r>
      <w:r>
        <w:rPr>
          <w:spacing w:val="-7"/>
        </w:rPr>
        <w:t> </w:t>
      </w:r>
      <w:r>
        <w:rPr/>
        <w:t>se</w:t>
      </w:r>
      <w:r>
        <w:rPr>
          <w:spacing w:val="29"/>
        </w:rPr>
        <w:t> </w:t>
      </w:r>
      <w:r>
        <w:rPr>
          <w:spacing w:val="-2"/>
        </w:rPr>
        <w:t>produce</w:t>
      </w:r>
    </w:p>
    <w:p>
      <w:pPr>
        <w:pStyle w:val="BodyText"/>
        <w:spacing w:after="0"/>
        <w:jc w:val="both"/>
        <w:sectPr>
          <w:pgSz w:w="11910" w:h="16840"/>
          <w:pgMar w:header="694" w:footer="690" w:top="1920" w:bottom="880" w:left="708" w:right="425"/>
        </w:sectPr>
      </w:pPr>
    </w:p>
    <w:p>
      <w:pPr>
        <w:pStyle w:val="BodyText"/>
        <w:spacing w:line="247" w:lineRule="auto" w:before="187"/>
        <w:ind w:left="1430" w:right="856"/>
        <w:jc w:val="both"/>
      </w:pPr>
      <w:r>
        <w:rPr/>
        <w:t>la corriente real de bienes y servicios que los mismos representan, con independencia del momento en que se produzca la corriente monetaria o financiera derivada de ellos.</w:t>
      </w:r>
    </w:p>
    <w:p>
      <w:pPr>
        <w:pStyle w:val="BodyText"/>
        <w:spacing w:line="244" w:lineRule="auto" w:before="230"/>
        <w:ind w:left="1430" w:right="854"/>
        <w:jc w:val="both"/>
      </w:pPr>
      <w:r>
        <w:rPr/>
        <w:t>Los ingresos se valoran por el valor razonable de la contraprestación recibida, deducidos descuentos e impuestos.</w:t>
      </w:r>
    </w:p>
    <w:p>
      <w:pPr>
        <w:pStyle w:val="BodyText"/>
        <w:spacing w:line="247" w:lineRule="auto" w:before="240"/>
        <w:ind w:left="1430" w:right="851"/>
        <w:jc w:val="both"/>
      </w:pPr>
      <w:r>
        <w:rPr/>
        <w:t>La Sociedad reconoce los pasivos por contratos a título oneroso recibidos en relación con las obligaciones de rendimiento no satisfechas y presenta estos importes como otros pasivos en el balance. De forma similar, si la Sociedad satisface una obligación de cumplimiento antes de recibir la contraprestación, la Sociedad reconoce un activo contractual o un crédito en su estado de balance, dependiendo de si se requiere algo más que el paso del tiempo antes de que la contraprestación sea exigible.</w:t>
      </w:r>
    </w:p>
    <w:p>
      <w:pPr>
        <w:pStyle w:val="BodyText"/>
        <w:spacing w:line="247" w:lineRule="auto" w:before="230"/>
        <w:ind w:left="1430" w:right="848"/>
        <w:jc w:val="both"/>
      </w:pPr>
      <w:r>
        <w:rPr/>
        <w:t>El</w:t>
      </w:r>
      <w:r>
        <w:rPr>
          <w:spacing w:val="-7"/>
        </w:rPr>
        <w:t> </w:t>
      </w:r>
      <w:r>
        <w:rPr/>
        <w:t>reconocimiento</w:t>
      </w:r>
      <w:r>
        <w:rPr>
          <w:spacing w:val="-6"/>
        </w:rPr>
        <w:t> </w:t>
      </w:r>
      <w:r>
        <w:rPr/>
        <w:t>de</w:t>
      </w:r>
      <w:r>
        <w:rPr>
          <w:spacing w:val="-7"/>
        </w:rPr>
        <w:t> </w:t>
      </w:r>
      <w:r>
        <w:rPr/>
        <w:t>los</w:t>
      </w:r>
      <w:r>
        <w:rPr>
          <w:spacing w:val="-7"/>
        </w:rPr>
        <w:t> </w:t>
      </w:r>
      <w:r>
        <w:rPr/>
        <w:t>ingresos</w:t>
      </w:r>
      <w:r>
        <w:rPr>
          <w:spacing w:val="-7"/>
        </w:rPr>
        <w:t> </w:t>
      </w:r>
      <w:r>
        <w:rPr/>
        <w:t>por</w:t>
      </w:r>
      <w:r>
        <w:rPr>
          <w:spacing w:val="-7"/>
        </w:rPr>
        <w:t> </w:t>
      </w:r>
      <w:r>
        <w:rPr/>
        <w:t>ventas</w:t>
      </w:r>
      <w:r>
        <w:rPr>
          <w:spacing w:val="-7"/>
        </w:rPr>
        <w:t> </w:t>
      </w:r>
      <w:r>
        <w:rPr/>
        <w:t>se</w:t>
      </w:r>
      <w:r>
        <w:rPr>
          <w:spacing w:val="-7"/>
        </w:rPr>
        <w:t> </w:t>
      </w:r>
      <w:r>
        <w:rPr/>
        <w:t>produce</w:t>
      </w:r>
      <w:r>
        <w:rPr>
          <w:spacing w:val="-7"/>
        </w:rPr>
        <w:t> </w:t>
      </w:r>
      <w:r>
        <w:rPr/>
        <w:t>en</w:t>
      </w:r>
      <w:r>
        <w:rPr>
          <w:spacing w:val="-6"/>
        </w:rPr>
        <w:t> </w:t>
      </w:r>
      <w:r>
        <w:rPr/>
        <w:t>el</w:t>
      </w:r>
      <w:r>
        <w:rPr>
          <w:spacing w:val="-6"/>
        </w:rPr>
        <w:t> </w:t>
      </w:r>
      <w:r>
        <w:rPr/>
        <w:t>momento</w:t>
      </w:r>
      <w:r>
        <w:rPr>
          <w:spacing w:val="-6"/>
        </w:rPr>
        <w:t> </w:t>
      </w:r>
      <w:r>
        <w:rPr/>
        <w:t>en</w:t>
      </w:r>
      <w:r>
        <w:rPr>
          <w:spacing w:val="-7"/>
        </w:rPr>
        <w:t> </w:t>
      </w:r>
      <w:r>
        <w:rPr/>
        <w:t>que</w:t>
      </w:r>
      <w:r>
        <w:rPr>
          <w:spacing w:val="-7"/>
        </w:rPr>
        <w:t> </w:t>
      </w:r>
      <w:r>
        <w:rPr/>
        <w:t>se</w:t>
      </w:r>
      <w:r>
        <w:rPr>
          <w:spacing w:val="-7"/>
        </w:rPr>
        <w:t> </w:t>
      </w:r>
      <w:r>
        <w:rPr/>
        <w:t>han</w:t>
      </w:r>
      <w:r>
        <w:rPr>
          <w:spacing w:val="-6"/>
        </w:rPr>
        <w:t> </w:t>
      </w:r>
      <w:r>
        <w:rPr/>
        <w:t>transferido al</w:t>
      </w:r>
      <w:r>
        <w:rPr>
          <w:spacing w:val="-1"/>
        </w:rPr>
        <w:t> </w:t>
      </w:r>
      <w:r>
        <w:rPr/>
        <w:t>comprador</w:t>
      </w:r>
      <w:r>
        <w:rPr>
          <w:spacing w:val="-1"/>
        </w:rPr>
        <w:t> </w:t>
      </w:r>
      <w:r>
        <w:rPr/>
        <w:t>los</w:t>
      </w:r>
      <w:r>
        <w:rPr>
          <w:spacing w:val="-1"/>
        </w:rPr>
        <w:t> </w:t>
      </w:r>
      <w:r>
        <w:rPr/>
        <w:t>riesgos</w:t>
      </w:r>
      <w:r>
        <w:rPr>
          <w:spacing w:val="-1"/>
        </w:rPr>
        <w:t> </w:t>
      </w:r>
      <w:r>
        <w:rPr/>
        <w:t>y</w:t>
      </w:r>
      <w:r>
        <w:rPr>
          <w:spacing w:val="-2"/>
        </w:rPr>
        <w:t> </w:t>
      </w:r>
      <w:r>
        <w:rPr/>
        <w:t>beneficios</w:t>
      </w:r>
      <w:r>
        <w:rPr>
          <w:spacing w:val="-1"/>
        </w:rPr>
        <w:t> </w:t>
      </w:r>
      <w:r>
        <w:rPr/>
        <w:t>significativos</w:t>
      </w:r>
      <w:r>
        <w:rPr>
          <w:spacing w:val="-1"/>
        </w:rPr>
        <w:t> </w:t>
      </w:r>
      <w:r>
        <w:rPr/>
        <w:t>inherentes</w:t>
      </w:r>
      <w:r>
        <w:rPr>
          <w:spacing w:val="-1"/>
        </w:rPr>
        <w:t> </w:t>
      </w:r>
      <w:r>
        <w:rPr/>
        <w:t>a</w:t>
      </w:r>
      <w:r>
        <w:rPr>
          <w:spacing w:val="-1"/>
        </w:rPr>
        <w:t> </w:t>
      </w:r>
      <w:r>
        <w:rPr/>
        <w:t>la</w:t>
      </w:r>
      <w:r>
        <w:rPr>
          <w:spacing w:val="-1"/>
        </w:rPr>
        <w:t> </w:t>
      </w:r>
      <w:r>
        <w:rPr/>
        <w:t>propiedad</w:t>
      </w:r>
      <w:r>
        <w:rPr>
          <w:spacing w:val="-2"/>
        </w:rPr>
        <w:t> </w:t>
      </w:r>
      <w:r>
        <w:rPr/>
        <w:t>del</w:t>
      </w:r>
      <w:r>
        <w:rPr>
          <w:spacing w:val="-1"/>
        </w:rPr>
        <w:t> </w:t>
      </w:r>
      <w:r>
        <w:rPr/>
        <w:t>bien</w:t>
      </w:r>
      <w:r>
        <w:rPr>
          <w:spacing w:val="-2"/>
        </w:rPr>
        <w:t> </w:t>
      </w:r>
      <w:r>
        <w:rPr/>
        <w:t>vendido</w:t>
      </w:r>
      <w:r>
        <w:rPr>
          <w:spacing w:val="-2"/>
        </w:rPr>
        <w:t> </w:t>
      </w:r>
      <w:r>
        <w:rPr/>
        <w:t>y la</w:t>
      </w:r>
      <w:r>
        <w:rPr>
          <w:spacing w:val="-6"/>
        </w:rPr>
        <w:t> </w:t>
      </w:r>
      <w:r>
        <w:rPr/>
        <w:t>Sociedad</w:t>
      </w:r>
      <w:r>
        <w:rPr>
          <w:spacing w:val="-5"/>
        </w:rPr>
        <w:t> </w:t>
      </w:r>
      <w:r>
        <w:rPr/>
        <w:t>no</w:t>
      </w:r>
      <w:r>
        <w:rPr>
          <w:spacing w:val="-5"/>
        </w:rPr>
        <w:t> </w:t>
      </w:r>
      <w:r>
        <w:rPr/>
        <w:t>mantiene</w:t>
      </w:r>
      <w:r>
        <w:rPr>
          <w:spacing w:val="-6"/>
        </w:rPr>
        <w:t> </w:t>
      </w:r>
      <w:r>
        <w:rPr/>
        <w:t>la</w:t>
      </w:r>
      <w:r>
        <w:rPr>
          <w:spacing w:val="-5"/>
        </w:rPr>
        <w:t> </w:t>
      </w:r>
      <w:r>
        <w:rPr/>
        <w:t>gestión</w:t>
      </w:r>
      <w:r>
        <w:rPr>
          <w:spacing w:val="-5"/>
        </w:rPr>
        <w:t> </w:t>
      </w:r>
      <w:r>
        <w:rPr/>
        <w:t>corriente</w:t>
      </w:r>
      <w:r>
        <w:rPr>
          <w:spacing w:val="-6"/>
        </w:rPr>
        <w:t> </w:t>
      </w:r>
      <w:r>
        <w:rPr/>
        <w:t>sobre</w:t>
      </w:r>
      <w:r>
        <w:rPr>
          <w:spacing w:val="-6"/>
        </w:rPr>
        <w:t> </w:t>
      </w:r>
      <w:r>
        <w:rPr/>
        <w:t>dicho</w:t>
      </w:r>
      <w:r>
        <w:rPr>
          <w:spacing w:val="-5"/>
        </w:rPr>
        <w:t> </w:t>
      </w:r>
      <w:r>
        <w:rPr/>
        <w:t>bien,</w:t>
      </w:r>
      <w:r>
        <w:rPr>
          <w:spacing w:val="-1"/>
        </w:rPr>
        <w:t> </w:t>
      </w:r>
      <w:r>
        <w:rPr/>
        <w:t>ni</w:t>
      </w:r>
      <w:r>
        <w:rPr>
          <w:spacing w:val="-5"/>
        </w:rPr>
        <w:t> </w:t>
      </w:r>
      <w:r>
        <w:rPr/>
        <w:t>retiene</w:t>
      </w:r>
      <w:r>
        <w:rPr>
          <w:spacing w:val="-6"/>
        </w:rPr>
        <w:t> </w:t>
      </w:r>
      <w:r>
        <w:rPr/>
        <w:t>el</w:t>
      </w:r>
      <w:r>
        <w:rPr>
          <w:spacing w:val="-6"/>
        </w:rPr>
        <w:t> </w:t>
      </w:r>
      <w:r>
        <w:rPr/>
        <w:t>control</w:t>
      </w:r>
      <w:r>
        <w:rPr>
          <w:spacing w:val="-6"/>
        </w:rPr>
        <w:t> </w:t>
      </w:r>
      <w:r>
        <w:rPr/>
        <w:t>efectivo</w:t>
      </w:r>
      <w:r>
        <w:rPr>
          <w:spacing w:val="-5"/>
        </w:rPr>
        <w:t> </w:t>
      </w:r>
      <w:r>
        <w:rPr/>
        <w:t>sobre el mismo.</w:t>
      </w:r>
    </w:p>
    <w:p>
      <w:pPr>
        <w:pStyle w:val="BodyText"/>
        <w:spacing w:line="244" w:lineRule="auto" w:before="235"/>
        <w:ind w:left="1430" w:right="847"/>
        <w:jc w:val="both"/>
      </w:pPr>
      <w:r>
        <w:rPr/>
        <w:t>Los</w:t>
      </w:r>
      <w:r>
        <w:rPr>
          <w:spacing w:val="-2"/>
        </w:rPr>
        <w:t> </w:t>
      </w:r>
      <w:r>
        <w:rPr/>
        <w:t>ingresos</w:t>
      </w:r>
      <w:r>
        <w:rPr>
          <w:spacing w:val="-2"/>
        </w:rPr>
        <w:t> </w:t>
      </w:r>
      <w:r>
        <w:rPr/>
        <w:t>por</w:t>
      </w:r>
      <w:r>
        <w:rPr>
          <w:spacing w:val="-1"/>
        </w:rPr>
        <w:t> </w:t>
      </w:r>
      <w:r>
        <w:rPr/>
        <w:t>prestación</w:t>
      </w:r>
      <w:r>
        <w:rPr>
          <w:spacing w:val="-3"/>
        </w:rPr>
        <w:t> </w:t>
      </w:r>
      <w:r>
        <w:rPr/>
        <w:t>de</w:t>
      </w:r>
      <w:r>
        <w:rPr>
          <w:spacing w:val="-2"/>
        </w:rPr>
        <w:t> </w:t>
      </w:r>
      <w:r>
        <w:rPr/>
        <w:t>servicios</w:t>
      </w:r>
      <w:r>
        <w:rPr>
          <w:spacing w:val="-2"/>
        </w:rPr>
        <w:t> </w:t>
      </w:r>
      <w:r>
        <w:rPr/>
        <w:t>se</w:t>
      </w:r>
      <w:r>
        <w:rPr>
          <w:spacing w:val="-2"/>
        </w:rPr>
        <w:t> </w:t>
      </w:r>
      <w:r>
        <w:rPr/>
        <w:t>reconocen</w:t>
      </w:r>
      <w:r>
        <w:rPr>
          <w:spacing w:val="-1"/>
        </w:rPr>
        <w:t> </w:t>
      </w:r>
      <w:r>
        <w:rPr/>
        <w:t>considerando</w:t>
      </w:r>
      <w:r>
        <w:rPr>
          <w:spacing w:val="-1"/>
        </w:rPr>
        <w:t> </w:t>
      </w:r>
      <w:r>
        <w:rPr/>
        <w:t>el</w:t>
      </w:r>
      <w:r>
        <w:rPr>
          <w:spacing w:val="-1"/>
        </w:rPr>
        <w:t> </w:t>
      </w:r>
      <w:r>
        <w:rPr/>
        <w:t>grado</w:t>
      </w:r>
      <w:r>
        <w:rPr>
          <w:spacing w:val="-1"/>
        </w:rPr>
        <w:t> </w:t>
      </w:r>
      <w:r>
        <w:rPr/>
        <w:t>de</w:t>
      </w:r>
      <w:r>
        <w:rPr>
          <w:spacing w:val="-5"/>
        </w:rPr>
        <w:t> </w:t>
      </w:r>
      <w:r>
        <w:rPr/>
        <w:t>realización</w:t>
      </w:r>
      <w:r>
        <w:rPr>
          <w:spacing w:val="-1"/>
        </w:rPr>
        <w:t> </w:t>
      </w:r>
      <w:r>
        <w:rPr/>
        <w:t>de</w:t>
      </w:r>
      <w:r>
        <w:rPr>
          <w:spacing w:val="-2"/>
        </w:rPr>
        <w:t> </w:t>
      </w:r>
      <w:r>
        <w:rPr/>
        <w:t>la prestación a la fecha de balance, siempre y cuando el resultado de la transacción pueda ser estimado con fiabilidad.</w:t>
      </w:r>
    </w:p>
    <w:p>
      <w:pPr>
        <w:pStyle w:val="BodyText"/>
        <w:spacing w:before="209"/>
      </w:pPr>
    </w:p>
    <w:p>
      <w:pPr>
        <w:pStyle w:val="Heading1"/>
        <w:numPr>
          <w:ilvl w:val="0"/>
          <w:numId w:val="1"/>
        </w:numPr>
        <w:tabs>
          <w:tab w:pos="708" w:val="left" w:leader="none"/>
        </w:tabs>
        <w:spacing w:line="240" w:lineRule="auto" w:before="0" w:after="0"/>
        <w:ind w:left="708" w:right="0" w:hanging="358"/>
        <w:jc w:val="left"/>
      </w:pPr>
      <w:r>
        <w:rPr/>
        <w:t>Inmovilizado</w:t>
      </w:r>
      <w:r>
        <w:rPr>
          <w:spacing w:val="-11"/>
        </w:rPr>
        <w:t> </w:t>
      </w:r>
      <w:r>
        <w:rPr>
          <w:spacing w:val="-2"/>
        </w:rPr>
        <w:t>intangible</w:t>
      </w:r>
    </w:p>
    <w:p>
      <w:pPr>
        <w:pStyle w:val="BodyText"/>
        <w:spacing w:line="244" w:lineRule="auto" w:before="245" w:after="6"/>
        <w:ind w:left="995" w:right="794"/>
      </w:pPr>
      <w:r>
        <w:rPr/>
        <w:t>Los</w:t>
      </w:r>
      <w:r>
        <w:rPr>
          <w:spacing w:val="-10"/>
        </w:rPr>
        <w:t> </w:t>
      </w:r>
      <w:r>
        <w:rPr/>
        <w:t>saldos</w:t>
      </w:r>
      <w:r>
        <w:rPr>
          <w:spacing w:val="-10"/>
        </w:rPr>
        <w:t> </w:t>
      </w:r>
      <w:r>
        <w:rPr/>
        <w:t>y</w:t>
      </w:r>
      <w:r>
        <w:rPr>
          <w:spacing w:val="-9"/>
        </w:rPr>
        <w:t> </w:t>
      </w:r>
      <w:r>
        <w:rPr/>
        <w:t>variaciones</w:t>
      </w:r>
      <w:r>
        <w:rPr>
          <w:spacing w:val="-9"/>
        </w:rPr>
        <w:t> </w:t>
      </w:r>
      <w:r>
        <w:rPr/>
        <w:t>durante</w:t>
      </w:r>
      <w:r>
        <w:rPr>
          <w:spacing w:val="-9"/>
        </w:rPr>
        <w:t> </w:t>
      </w:r>
      <w:r>
        <w:rPr/>
        <w:t>los</w:t>
      </w:r>
      <w:r>
        <w:rPr>
          <w:spacing w:val="-9"/>
        </w:rPr>
        <w:t> </w:t>
      </w:r>
      <w:r>
        <w:rPr/>
        <w:t>ejercicios</w:t>
      </w:r>
      <w:r>
        <w:rPr>
          <w:spacing w:val="-5"/>
        </w:rPr>
        <w:t> </w:t>
      </w:r>
      <w:r>
        <w:rPr/>
        <w:t>2025</w:t>
      </w:r>
      <w:r>
        <w:rPr>
          <w:spacing w:val="-9"/>
        </w:rPr>
        <w:t> </w:t>
      </w:r>
      <w:r>
        <w:rPr/>
        <w:t>y</w:t>
      </w:r>
      <w:r>
        <w:rPr>
          <w:spacing w:val="-9"/>
        </w:rPr>
        <w:t> </w:t>
      </w:r>
      <w:r>
        <w:rPr/>
        <w:t>2024,</w:t>
      </w:r>
      <w:r>
        <w:rPr>
          <w:spacing w:val="-9"/>
        </w:rPr>
        <w:t> </w:t>
      </w:r>
      <w:r>
        <w:rPr/>
        <w:t>de</w:t>
      </w:r>
      <w:r>
        <w:rPr>
          <w:spacing w:val="-10"/>
        </w:rPr>
        <w:t> </w:t>
      </w:r>
      <w:r>
        <w:rPr/>
        <w:t>los</w:t>
      </w:r>
      <w:r>
        <w:rPr>
          <w:spacing w:val="-11"/>
        </w:rPr>
        <w:t> </w:t>
      </w:r>
      <w:r>
        <w:rPr/>
        <w:t>valores</w:t>
      </w:r>
      <w:r>
        <w:rPr>
          <w:spacing w:val="-10"/>
        </w:rPr>
        <w:t> </w:t>
      </w:r>
      <w:r>
        <w:rPr/>
        <w:t>brutos</w:t>
      </w:r>
      <w:r>
        <w:rPr>
          <w:spacing w:val="-9"/>
        </w:rPr>
        <w:t> </w:t>
      </w:r>
      <w:r>
        <w:rPr/>
        <w:t>y</w:t>
      </w:r>
      <w:r>
        <w:rPr>
          <w:spacing w:val="-10"/>
        </w:rPr>
        <w:t> </w:t>
      </w:r>
      <w:r>
        <w:rPr/>
        <w:t>de</w:t>
      </w:r>
      <w:r>
        <w:rPr>
          <w:spacing w:val="-10"/>
        </w:rPr>
        <w:t> </w:t>
      </w:r>
      <w:r>
        <w:rPr/>
        <w:t>la</w:t>
      </w:r>
      <w:r>
        <w:rPr>
          <w:spacing w:val="-10"/>
        </w:rPr>
        <w:t> </w:t>
      </w:r>
      <w:r>
        <w:rPr/>
        <w:t>amortización acumulada son:</w:t>
      </w:r>
    </w:p>
    <w:tbl>
      <w:tblPr>
        <w:tblW w:w="0" w:type="auto"/>
        <w:jc w:val="left"/>
        <w:tblInd w:w="2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35"/>
        <w:gridCol w:w="1483"/>
        <w:gridCol w:w="1296"/>
        <w:gridCol w:w="187"/>
        <w:gridCol w:w="1296"/>
      </w:tblGrid>
      <w:tr>
        <w:trPr>
          <w:trHeight w:val="360" w:hRule="atLeast"/>
        </w:trPr>
        <w:tc>
          <w:tcPr>
            <w:tcW w:w="2635" w:type="dxa"/>
          </w:tcPr>
          <w:p>
            <w:pPr>
              <w:pStyle w:val="TableParagraph"/>
              <w:rPr>
                <w:sz w:val="20"/>
              </w:rPr>
            </w:pPr>
          </w:p>
        </w:tc>
        <w:tc>
          <w:tcPr>
            <w:tcW w:w="1483" w:type="dxa"/>
            <w:tcBorders>
              <w:bottom w:val="single" w:sz="12" w:space="0" w:color="000000"/>
            </w:tcBorders>
          </w:tcPr>
          <w:p>
            <w:pPr>
              <w:pStyle w:val="TableParagraph"/>
              <w:spacing w:line="177" w:lineRule="exact"/>
              <w:ind w:left="15" w:right="1"/>
              <w:jc w:val="center"/>
              <w:rPr>
                <w:b/>
                <w:sz w:val="16"/>
              </w:rPr>
            </w:pPr>
            <w:r>
              <w:rPr>
                <w:b/>
                <w:spacing w:val="-2"/>
                <w:sz w:val="16"/>
              </w:rPr>
              <w:t>Patentes,</w:t>
            </w:r>
            <w:r>
              <w:rPr>
                <w:b/>
                <w:spacing w:val="3"/>
                <w:sz w:val="16"/>
              </w:rPr>
              <w:t> </w:t>
            </w:r>
            <w:r>
              <w:rPr>
                <w:b/>
                <w:spacing w:val="-2"/>
                <w:sz w:val="16"/>
              </w:rPr>
              <w:t>marcas</w:t>
            </w:r>
            <w:r>
              <w:rPr>
                <w:b/>
                <w:spacing w:val="5"/>
                <w:sz w:val="16"/>
              </w:rPr>
              <w:t> </w:t>
            </w:r>
            <w:r>
              <w:rPr>
                <w:b/>
                <w:spacing w:val="-10"/>
                <w:sz w:val="16"/>
              </w:rPr>
              <w:t>y</w:t>
            </w:r>
          </w:p>
          <w:p>
            <w:pPr>
              <w:pStyle w:val="TableParagraph"/>
              <w:spacing w:line="164" w:lineRule="exact"/>
              <w:ind w:left="15"/>
              <w:jc w:val="center"/>
              <w:rPr>
                <w:b/>
                <w:sz w:val="16"/>
              </w:rPr>
            </w:pPr>
            <w:r>
              <w:rPr>
                <w:b/>
                <w:spacing w:val="-2"/>
                <w:sz w:val="16"/>
              </w:rPr>
              <w:t>similares</w:t>
            </w:r>
          </w:p>
        </w:tc>
        <w:tc>
          <w:tcPr>
            <w:tcW w:w="1296" w:type="dxa"/>
            <w:tcBorders>
              <w:bottom w:val="single" w:sz="12" w:space="0" w:color="000000"/>
            </w:tcBorders>
          </w:tcPr>
          <w:p>
            <w:pPr>
              <w:pStyle w:val="TableParagraph"/>
              <w:spacing w:line="177" w:lineRule="exact"/>
              <w:ind w:left="318"/>
              <w:rPr>
                <w:b/>
                <w:sz w:val="16"/>
              </w:rPr>
            </w:pPr>
            <w:r>
              <w:rPr>
                <w:b/>
                <w:spacing w:val="-2"/>
                <w:sz w:val="16"/>
              </w:rPr>
              <w:t>Aplicaciones</w:t>
            </w:r>
          </w:p>
          <w:p>
            <w:pPr>
              <w:pStyle w:val="TableParagraph"/>
              <w:spacing w:line="164" w:lineRule="exact"/>
              <w:ind w:left="318"/>
              <w:rPr>
                <w:b/>
                <w:sz w:val="16"/>
              </w:rPr>
            </w:pPr>
            <w:r>
              <w:rPr>
                <w:b/>
                <w:spacing w:val="-2"/>
                <w:sz w:val="16"/>
              </w:rPr>
              <w:t>informáticas</w:t>
            </w:r>
          </w:p>
        </w:tc>
        <w:tc>
          <w:tcPr>
            <w:tcW w:w="187" w:type="dxa"/>
            <w:tcBorders>
              <w:bottom w:val="single" w:sz="12" w:space="0" w:color="000000"/>
            </w:tcBorders>
          </w:tcPr>
          <w:p>
            <w:pPr>
              <w:pStyle w:val="TableParagraph"/>
              <w:rPr>
                <w:sz w:val="20"/>
              </w:rPr>
            </w:pPr>
          </w:p>
        </w:tc>
        <w:tc>
          <w:tcPr>
            <w:tcW w:w="1296" w:type="dxa"/>
            <w:tcBorders>
              <w:bottom w:val="single" w:sz="12" w:space="0" w:color="000000"/>
            </w:tcBorders>
          </w:tcPr>
          <w:p>
            <w:pPr>
              <w:pStyle w:val="TableParagraph"/>
              <w:spacing w:line="177" w:lineRule="exact"/>
              <w:ind w:left="8"/>
              <w:jc w:val="center"/>
              <w:rPr>
                <w:b/>
                <w:sz w:val="16"/>
              </w:rPr>
            </w:pPr>
            <w:r>
              <w:rPr>
                <w:b/>
                <w:spacing w:val="-2"/>
                <w:sz w:val="16"/>
              </w:rPr>
              <w:t>Total</w:t>
            </w:r>
          </w:p>
        </w:tc>
      </w:tr>
      <w:tr>
        <w:trPr>
          <w:trHeight w:val="453" w:hRule="atLeast"/>
        </w:trPr>
        <w:tc>
          <w:tcPr>
            <w:tcW w:w="2635" w:type="dxa"/>
          </w:tcPr>
          <w:p>
            <w:pPr>
              <w:pStyle w:val="TableParagraph"/>
              <w:spacing w:line="183" w:lineRule="exact"/>
              <w:ind w:left="50"/>
              <w:rPr>
                <w:sz w:val="16"/>
              </w:rPr>
            </w:pPr>
            <w:r>
              <w:rPr>
                <w:sz w:val="16"/>
                <w:u w:val="single"/>
              </w:rPr>
              <w:t>Valores</w:t>
            </w:r>
            <w:r>
              <w:rPr>
                <w:spacing w:val="-8"/>
                <w:sz w:val="16"/>
                <w:u w:val="single"/>
              </w:rPr>
              <w:t> </w:t>
            </w:r>
            <w:r>
              <w:rPr>
                <w:spacing w:val="-2"/>
                <w:sz w:val="16"/>
                <w:u w:val="single"/>
              </w:rPr>
              <w:t>brutos</w:t>
            </w:r>
          </w:p>
          <w:p>
            <w:pPr>
              <w:pStyle w:val="TableParagraph"/>
              <w:spacing w:before="43"/>
              <w:ind w:left="50"/>
              <w:rPr>
                <w:sz w:val="16"/>
              </w:rPr>
            </w:pPr>
            <w:r>
              <w:rPr>
                <w:sz w:val="16"/>
              </w:rPr>
              <w:t>Saldo</w:t>
            </w:r>
            <w:r>
              <w:rPr>
                <w:spacing w:val="-3"/>
                <w:sz w:val="16"/>
              </w:rPr>
              <w:t> </w:t>
            </w:r>
            <w:r>
              <w:rPr>
                <w:sz w:val="16"/>
              </w:rPr>
              <w:t>al</w:t>
            </w:r>
            <w:r>
              <w:rPr>
                <w:spacing w:val="-3"/>
                <w:sz w:val="16"/>
              </w:rPr>
              <w:t> </w:t>
            </w:r>
            <w:r>
              <w:rPr>
                <w:spacing w:val="-2"/>
                <w:sz w:val="16"/>
              </w:rPr>
              <w:t>01.01.24</w:t>
            </w:r>
          </w:p>
        </w:tc>
        <w:tc>
          <w:tcPr>
            <w:tcW w:w="1483" w:type="dxa"/>
            <w:tcBorders>
              <w:top w:val="single" w:sz="12" w:space="0" w:color="000000"/>
            </w:tcBorders>
          </w:tcPr>
          <w:p>
            <w:pPr>
              <w:pStyle w:val="TableParagraph"/>
              <w:spacing w:before="42"/>
              <w:rPr>
                <w:sz w:val="16"/>
              </w:rPr>
            </w:pPr>
          </w:p>
          <w:p>
            <w:pPr>
              <w:pStyle w:val="TableParagraph"/>
              <w:ind w:right="254"/>
              <w:jc w:val="right"/>
              <w:rPr>
                <w:sz w:val="16"/>
              </w:rPr>
            </w:pPr>
            <w:r>
              <w:rPr>
                <w:sz w:val="16"/>
              </w:rPr>
              <mc:AlternateContent>
                <mc:Choice Requires="wps">
                  <w:drawing>
                    <wp:anchor distT="0" distB="0" distL="0" distR="0" allowOverlap="1" layoutInCell="1" locked="0" behindDoc="1" simplePos="0" relativeHeight="484077056">
                      <wp:simplePos x="0" y="0"/>
                      <wp:positionH relativeFrom="column">
                        <wp:posOffset>4572</wp:posOffset>
                      </wp:positionH>
                      <wp:positionV relativeFrom="paragraph">
                        <wp:posOffset>145145</wp:posOffset>
                      </wp:positionV>
                      <wp:extent cx="818515" cy="2794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818515" cy="27940"/>
                                <a:chExt cx="818515" cy="27940"/>
                              </a:xfrm>
                            </wpg:grpSpPr>
                            <wps:wsp>
                              <wps:cNvPr id="11" name="Graphic 11"/>
                              <wps:cNvSpPr/>
                              <wps:spPr>
                                <a:xfrm>
                                  <a:off x="0" y="0"/>
                                  <a:ext cx="818515" cy="27940"/>
                                </a:xfrm>
                                <a:custGeom>
                                  <a:avLst/>
                                  <a:gdLst/>
                                  <a:ahLst/>
                                  <a:cxnLst/>
                                  <a:rect l="l" t="t" r="r" b="b"/>
                                  <a:pathLst>
                                    <a:path w="818515" h="27940">
                                      <a:moveTo>
                                        <a:pt x="818388" y="18288"/>
                                      </a:moveTo>
                                      <a:lnTo>
                                        <a:pt x="0" y="18288"/>
                                      </a:lnTo>
                                      <a:lnTo>
                                        <a:pt x="0" y="27432"/>
                                      </a:lnTo>
                                      <a:lnTo>
                                        <a:pt x="818388" y="27432"/>
                                      </a:lnTo>
                                      <a:lnTo>
                                        <a:pt x="818388" y="18288"/>
                                      </a:lnTo>
                                      <a:close/>
                                    </a:path>
                                    <a:path w="818515" h="27940">
                                      <a:moveTo>
                                        <a:pt x="818388" y="0"/>
                                      </a:moveTo>
                                      <a:lnTo>
                                        <a:pt x="0" y="0"/>
                                      </a:lnTo>
                                      <a:lnTo>
                                        <a:pt x="0" y="9144"/>
                                      </a:lnTo>
                                      <a:lnTo>
                                        <a:pt x="818388" y="9144"/>
                                      </a:lnTo>
                                      <a:lnTo>
                                        <a:pt x="818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11.428764pt;width:64.45pt;height:2.2pt;mso-position-horizontal-relative:column;mso-position-vertical-relative:paragraph;z-index:-19239424" id="docshapegroup10" coordorigin="7,229" coordsize="1289,44">
                      <v:shape style="position:absolute;left:7;top:228;width:1289;height:44" id="docshape11" coordorigin="7,229" coordsize="1289,44" path="m1296,257l7,257,7,272,1296,272,1296,257xm1296,229l7,229,7,243,1296,243,1296,229xe" filled="true" fillcolor="#000000" stroked="false">
                        <v:path arrowok="t"/>
                        <v:fill type="solid"/>
                      </v:shape>
                      <w10:wrap type="none"/>
                    </v:group>
                  </w:pict>
                </mc:Fallback>
              </mc:AlternateContent>
            </w:r>
            <w:r>
              <w:rPr>
                <w:spacing w:val="-2"/>
                <w:sz w:val="16"/>
              </w:rPr>
              <w:t>11.386,57</w:t>
            </w:r>
          </w:p>
        </w:tc>
        <w:tc>
          <w:tcPr>
            <w:tcW w:w="1296" w:type="dxa"/>
            <w:tcBorders>
              <w:top w:val="single" w:sz="12" w:space="0" w:color="000000"/>
              <w:bottom w:val="double" w:sz="6" w:space="0" w:color="000000"/>
            </w:tcBorders>
          </w:tcPr>
          <w:p>
            <w:pPr>
              <w:pStyle w:val="TableParagraph"/>
              <w:spacing w:before="42"/>
              <w:rPr>
                <w:sz w:val="16"/>
              </w:rPr>
            </w:pPr>
          </w:p>
          <w:p>
            <w:pPr>
              <w:pStyle w:val="TableParagraph"/>
              <w:ind w:right="67"/>
              <w:jc w:val="right"/>
              <w:rPr>
                <w:sz w:val="16"/>
              </w:rPr>
            </w:pPr>
            <w:r>
              <w:rPr>
                <w:spacing w:val="-2"/>
                <w:sz w:val="16"/>
              </w:rPr>
              <w:t>3.164,16</w:t>
            </w:r>
          </w:p>
        </w:tc>
        <w:tc>
          <w:tcPr>
            <w:tcW w:w="187" w:type="dxa"/>
            <w:tcBorders>
              <w:top w:val="single" w:sz="12" w:space="0" w:color="000000"/>
            </w:tcBorders>
          </w:tcPr>
          <w:p>
            <w:pPr>
              <w:pStyle w:val="TableParagraph"/>
              <w:rPr>
                <w:sz w:val="20"/>
              </w:rPr>
            </w:pPr>
          </w:p>
        </w:tc>
        <w:tc>
          <w:tcPr>
            <w:tcW w:w="1296" w:type="dxa"/>
            <w:tcBorders>
              <w:top w:val="single" w:sz="12" w:space="0" w:color="000000"/>
              <w:bottom w:val="double" w:sz="6" w:space="0" w:color="000000"/>
            </w:tcBorders>
          </w:tcPr>
          <w:p>
            <w:pPr>
              <w:pStyle w:val="TableParagraph"/>
              <w:spacing w:before="42"/>
              <w:rPr>
                <w:sz w:val="16"/>
              </w:rPr>
            </w:pPr>
          </w:p>
          <w:p>
            <w:pPr>
              <w:pStyle w:val="TableParagraph"/>
              <w:ind w:right="66"/>
              <w:jc w:val="right"/>
              <w:rPr>
                <w:sz w:val="16"/>
              </w:rPr>
            </w:pPr>
            <w:r>
              <w:rPr>
                <w:spacing w:val="-2"/>
                <w:sz w:val="16"/>
              </w:rPr>
              <w:t>14.550,73</w:t>
            </w:r>
          </w:p>
        </w:tc>
      </w:tr>
      <w:tr>
        <w:trPr>
          <w:trHeight w:val="226" w:hRule="atLeast"/>
        </w:trPr>
        <w:tc>
          <w:tcPr>
            <w:tcW w:w="2635" w:type="dxa"/>
          </w:tcPr>
          <w:p>
            <w:pPr>
              <w:pStyle w:val="TableParagraph"/>
              <w:spacing w:line="184" w:lineRule="exact"/>
              <w:ind w:left="50"/>
              <w:rPr>
                <w:sz w:val="16"/>
              </w:rPr>
            </w:pPr>
            <w:r>
              <w:rPr>
                <w:spacing w:val="-2"/>
                <w:sz w:val="16"/>
              </w:rPr>
              <w:t>Entradas</w:t>
            </w:r>
          </w:p>
        </w:tc>
        <w:tc>
          <w:tcPr>
            <w:tcW w:w="1483" w:type="dxa"/>
          </w:tcPr>
          <w:p>
            <w:pPr>
              <w:pStyle w:val="TableParagraph"/>
              <w:spacing w:line="184" w:lineRule="exact"/>
              <w:ind w:right="254"/>
              <w:jc w:val="right"/>
              <w:rPr>
                <w:sz w:val="16"/>
              </w:rPr>
            </w:pPr>
            <w:r>
              <w:rPr>
                <w:sz w:val="16"/>
              </w:rPr>
              <mc:AlternateContent>
                <mc:Choice Requires="wps">
                  <w:drawing>
                    <wp:anchor distT="0" distB="0" distL="0" distR="0" allowOverlap="1" layoutInCell="1" locked="0" behindDoc="1" simplePos="0" relativeHeight="484077568">
                      <wp:simplePos x="0" y="0"/>
                      <wp:positionH relativeFrom="column">
                        <wp:posOffset>4572</wp:posOffset>
                      </wp:positionH>
                      <wp:positionV relativeFrom="paragraph">
                        <wp:posOffset>144208</wp:posOffset>
                      </wp:positionV>
                      <wp:extent cx="818515" cy="2794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818515" cy="27940"/>
                                <a:chExt cx="818515" cy="27940"/>
                              </a:xfrm>
                            </wpg:grpSpPr>
                            <wps:wsp>
                              <wps:cNvPr id="13" name="Graphic 13"/>
                              <wps:cNvSpPr/>
                              <wps:spPr>
                                <a:xfrm>
                                  <a:off x="0" y="0"/>
                                  <a:ext cx="818515" cy="27940"/>
                                </a:xfrm>
                                <a:custGeom>
                                  <a:avLst/>
                                  <a:gdLst/>
                                  <a:ahLst/>
                                  <a:cxnLst/>
                                  <a:rect l="l" t="t" r="r" b="b"/>
                                  <a:pathLst>
                                    <a:path w="818515" h="27940">
                                      <a:moveTo>
                                        <a:pt x="818388" y="18288"/>
                                      </a:moveTo>
                                      <a:lnTo>
                                        <a:pt x="0" y="18288"/>
                                      </a:lnTo>
                                      <a:lnTo>
                                        <a:pt x="0" y="27432"/>
                                      </a:lnTo>
                                      <a:lnTo>
                                        <a:pt x="818388" y="27432"/>
                                      </a:lnTo>
                                      <a:lnTo>
                                        <a:pt x="818388" y="18288"/>
                                      </a:lnTo>
                                      <a:close/>
                                    </a:path>
                                    <a:path w="818515" h="27940">
                                      <a:moveTo>
                                        <a:pt x="818388" y="0"/>
                                      </a:moveTo>
                                      <a:lnTo>
                                        <a:pt x="0" y="0"/>
                                      </a:lnTo>
                                      <a:lnTo>
                                        <a:pt x="0" y="9144"/>
                                      </a:lnTo>
                                      <a:lnTo>
                                        <a:pt x="818388" y="9144"/>
                                      </a:lnTo>
                                      <a:lnTo>
                                        <a:pt x="818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11.355pt;width:64.45pt;height:2.2pt;mso-position-horizontal-relative:column;mso-position-vertical-relative:paragraph;z-index:-19238912" id="docshapegroup12" coordorigin="7,227" coordsize="1289,44">
                      <v:shape style="position:absolute;left:7;top:227;width:1289;height:44" id="docshape13" coordorigin="7,227" coordsize="1289,44" path="m1296,256l7,256,7,270,1296,270,1296,256xm1296,227l7,227,7,241,1296,241,1296,227xe" filled="true" fillcolor="#000000" stroked="false">
                        <v:path arrowok="t"/>
                        <v:fill type="solid"/>
                      </v:shape>
                      <w10:wrap type="none"/>
                    </v:group>
                  </w:pict>
                </mc:Fallback>
              </mc:AlternateContent>
            </w:r>
            <w:r>
              <w:rPr>
                <w:spacing w:val="-4"/>
                <w:sz w:val="16"/>
              </w:rPr>
              <w:t>0,00</w:t>
            </w:r>
          </w:p>
        </w:tc>
        <w:tc>
          <w:tcPr>
            <w:tcW w:w="1296" w:type="dxa"/>
            <w:tcBorders>
              <w:top w:val="double" w:sz="6" w:space="0" w:color="000000"/>
              <w:bottom w:val="double" w:sz="6" w:space="0" w:color="000000"/>
            </w:tcBorders>
          </w:tcPr>
          <w:p>
            <w:pPr>
              <w:pStyle w:val="TableParagraph"/>
              <w:spacing w:line="184" w:lineRule="exact"/>
              <w:ind w:right="67"/>
              <w:jc w:val="right"/>
              <w:rPr>
                <w:sz w:val="16"/>
              </w:rPr>
            </w:pPr>
            <w:r>
              <w:rPr>
                <w:spacing w:val="-4"/>
                <w:sz w:val="16"/>
              </w:rPr>
              <w:t>0,00</w:t>
            </w:r>
          </w:p>
        </w:tc>
        <w:tc>
          <w:tcPr>
            <w:tcW w:w="187" w:type="dxa"/>
          </w:tcPr>
          <w:p>
            <w:pPr>
              <w:pStyle w:val="TableParagraph"/>
              <w:rPr>
                <w:sz w:val="16"/>
              </w:rPr>
            </w:pPr>
          </w:p>
        </w:tc>
        <w:tc>
          <w:tcPr>
            <w:tcW w:w="1296" w:type="dxa"/>
            <w:tcBorders>
              <w:top w:val="double" w:sz="6" w:space="0" w:color="000000"/>
              <w:bottom w:val="double" w:sz="6" w:space="0" w:color="000000"/>
            </w:tcBorders>
          </w:tcPr>
          <w:p>
            <w:pPr>
              <w:pStyle w:val="TableParagraph"/>
              <w:spacing w:line="184" w:lineRule="exact"/>
              <w:ind w:right="66"/>
              <w:jc w:val="right"/>
              <w:rPr>
                <w:sz w:val="16"/>
              </w:rPr>
            </w:pPr>
            <w:r>
              <w:rPr>
                <w:spacing w:val="-4"/>
                <w:sz w:val="16"/>
              </w:rPr>
              <w:t>0,00</w:t>
            </w:r>
          </w:p>
        </w:tc>
      </w:tr>
      <w:tr>
        <w:trPr>
          <w:trHeight w:val="227" w:hRule="atLeast"/>
        </w:trPr>
        <w:tc>
          <w:tcPr>
            <w:tcW w:w="2635" w:type="dxa"/>
          </w:tcPr>
          <w:p>
            <w:pPr>
              <w:pStyle w:val="TableParagraph"/>
              <w:spacing w:before="1"/>
              <w:ind w:left="50"/>
              <w:rPr>
                <w:sz w:val="16"/>
              </w:rPr>
            </w:pPr>
            <w:r>
              <w:rPr>
                <w:sz w:val="16"/>
              </w:rPr>
              <w:t>Saldo</w:t>
            </w:r>
            <w:r>
              <w:rPr>
                <w:spacing w:val="-3"/>
                <w:sz w:val="16"/>
              </w:rPr>
              <w:t> </w:t>
            </w:r>
            <w:r>
              <w:rPr>
                <w:sz w:val="16"/>
              </w:rPr>
              <w:t>al</w:t>
            </w:r>
            <w:r>
              <w:rPr>
                <w:spacing w:val="-3"/>
                <w:sz w:val="16"/>
              </w:rPr>
              <w:t> </w:t>
            </w:r>
            <w:r>
              <w:rPr>
                <w:spacing w:val="-2"/>
                <w:sz w:val="16"/>
              </w:rPr>
              <w:t>31.12.24</w:t>
            </w:r>
          </w:p>
        </w:tc>
        <w:tc>
          <w:tcPr>
            <w:tcW w:w="1483" w:type="dxa"/>
          </w:tcPr>
          <w:p>
            <w:pPr>
              <w:pStyle w:val="TableParagraph"/>
              <w:spacing w:before="1"/>
              <w:ind w:right="254"/>
              <w:jc w:val="right"/>
              <w:rPr>
                <w:sz w:val="16"/>
              </w:rPr>
            </w:pPr>
            <w:r>
              <w:rPr>
                <w:sz w:val="16"/>
              </w:rPr>
              <mc:AlternateContent>
                <mc:Choice Requires="wps">
                  <w:drawing>
                    <wp:anchor distT="0" distB="0" distL="0" distR="0" allowOverlap="1" layoutInCell="1" locked="0" behindDoc="1" simplePos="0" relativeHeight="484078080">
                      <wp:simplePos x="0" y="0"/>
                      <wp:positionH relativeFrom="column">
                        <wp:posOffset>4572</wp:posOffset>
                      </wp:positionH>
                      <wp:positionV relativeFrom="paragraph">
                        <wp:posOffset>145017</wp:posOffset>
                      </wp:positionV>
                      <wp:extent cx="818515" cy="2794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818515" cy="27940"/>
                                <a:chExt cx="818515" cy="27940"/>
                              </a:xfrm>
                            </wpg:grpSpPr>
                            <wps:wsp>
                              <wps:cNvPr id="15" name="Graphic 15"/>
                              <wps:cNvSpPr/>
                              <wps:spPr>
                                <a:xfrm>
                                  <a:off x="0" y="0"/>
                                  <a:ext cx="818515" cy="27940"/>
                                </a:xfrm>
                                <a:custGeom>
                                  <a:avLst/>
                                  <a:gdLst/>
                                  <a:ahLst/>
                                  <a:cxnLst/>
                                  <a:rect l="l" t="t" r="r" b="b"/>
                                  <a:pathLst>
                                    <a:path w="818515" h="27940">
                                      <a:moveTo>
                                        <a:pt x="818388" y="18288"/>
                                      </a:moveTo>
                                      <a:lnTo>
                                        <a:pt x="0" y="18288"/>
                                      </a:lnTo>
                                      <a:lnTo>
                                        <a:pt x="0" y="27432"/>
                                      </a:lnTo>
                                      <a:lnTo>
                                        <a:pt x="818388" y="27432"/>
                                      </a:lnTo>
                                      <a:lnTo>
                                        <a:pt x="818388" y="18288"/>
                                      </a:lnTo>
                                      <a:close/>
                                    </a:path>
                                    <a:path w="818515" h="27940">
                                      <a:moveTo>
                                        <a:pt x="818388" y="0"/>
                                      </a:moveTo>
                                      <a:lnTo>
                                        <a:pt x="0" y="0"/>
                                      </a:lnTo>
                                      <a:lnTo>
                                        <a:pt x="0" y="9144"/>
                                      </a:lnTo>
                                      <a:lnTo>
                                        <a:pt x="818388" y="9144"/>
                                      </a:lnTo>
                                      <a:lnTo>
                                        <a:pt x="818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11.418714pt;width:64.45pt;height:2.2pt;mso-position-horizontal-relative:column;mso-position-vertical-relative:paragraph;z-index:-19238400" id="docshapegroup14" coordorigin="7,228" coordsize="1289,44">
                      <v:shape style="position:absolute;left:7;top:228;width:1289;height:44" id="docshape15" coordorigin="7,228" coordsize="1289,44" path="m1296,257l7,257,7,272,1296,272,1296,257xm1296,228l7,228,7,243,1296,243,1296,228xe" filled="true" fillcolor="#000000" stroked="false">
                        <v:path arrowok="t"/>
                        <v:fill type="solid"/>
                      </v:shape>
                      <w10:wrap type="none"/>
                    </v:group>
                  </w:pict>
                </mc:Fallback>
              </mc:AlternateContent>
            </w:r>
            <w:r>
              <w:rPr>
                <w:spacing w:val="-2"/>
                <w:sz w:val="16"/>
              </w:rPr>
              <w:t>11.386,57</w:t>
            </w:r>
          </w:p>
        </w:tc>
        <w:tc>
          <w:tcPr>
            <w:tcW w:w="1296" w:type="dxa"/>
            <w:tcBorders>
              <w:top w:val="double" w:sz="6" w:space="0" w:color="000000"/>
              <w:bottom w:val="double" w:sz="6" w:space="0" w:color="000000"/>
            </w:tcBorders>
          </w:tcPr>
          <w:p>
            <w:pPr>
              <w:pStyle w:val="TableParagraph"/>
              <w:spacing w:before="1"/>
              <w:ind w:right="67"/>
              <w:jc w:val="right"/>
              <w:rPr>
                <w:sz w:val="16"/>
              </w:rPr>
            </w:pPr>
            <w:r>
              <w:rPr>
                <w:spacing w:val="-2"/>
                <w:sz w:val="16"/>
              </w:rPr>
              <w:t>3.164,16</w:t>
            </w:r>
          </w:p>
        </w:tc>
        <w:tc>
          <w:tcPr>
            <w:tcW w:w="187" w:type="dxa"/>
          </w:tcPr>
          <w:p>
            <w:pPr>
              <w:pStyle w:val="TableParagraph"/>
              <w:rPr>
                <w:sz w:val="16"/>
              </w:rPr>
            </w:pPr>
          </w:p>
        </w:tc>
        <w:tc>
          <w:tcPr>
            <w:tcW w:w="1296" w:type="dxa"/>
            <w:tcBorders>
              <w:top w:val="double" w:sz="6" w:space="0" w:color="000000"/>
              <w:bottom w:val="double" w:sz="6" w:space="0" w:color="000000"/>
            </w:tcBorders>
          </w:tcPr>
          <w:p>
            <w:pPr>
              <w:pStyle w:val="TableParagraph"/>
              <w:spacing w:before="1"/>
              <w:ind w:right="66"/>
              <w:jc w:val="right"/>
              <w:rPr>
                <w:sz w:val="16"/>
              </w:rPr>
            </w:pPr>
            <w:r>
              <w:rPr>
                <w:spacing w:val="-2"/>
                <w:sz w:val="16"/>
              </w:rPr>
              <w:t>14.550,73</w:t>
            </w:r>
          </w:p>
        </w:tc>
      </w:tr>
      <w:tr>
        <w:trPr>
          <w:trHeight w:val="227" w:hRule="atLeast"/>
        </w:trPr>
        <w:tc>
          <w:tcPr>
            <w:tcW w:w="2635" w:type="dxa"/>
          </w:tcPr>
          <w:p>
            <w:pPr>
              <w:pStyle w:val="TableParagraph"/>
              <w:spacing w:line="184" w:lineRule="exact"/>
              <w:ind w:left="50"/>
              <w:rPr>
                <w:sz w:val="16"/>
              </w:rPr>
            </w:pPr>
            <w:r>
              <w:rPr>
                <w:spacing w:val="-2"/>
                <w:sz w:val="16"/>
              </w:rPr>
              <w:t>Entradas</w:t>
            </w:r>
          </w:p>
        </w:tc>
        <w:tc>
          <w:tcPr>
            <w:tcW w:w="1483" w:type="dxa"/>
          </w:tcPr>
          <w:p>
            <w:pPr>
              <w:pStyle w:val="TableParagraph"/>
              <w:spacing w:line="184" w:lineRule="exact"/>
              <w:ind w:right="254"/>
              <w:jc w:val="right"/>
              <w:rPr>
                <w:sz w:val="16"/>
              </w:rPr>
            </w:pPr>
            <w:r>
              <w:rPr>
                <w:sz w:val="16"/>
              </w:rPr>
              <mc:AlternateContent>
                <mc:Choice Requires="wps">
                  <w:drawing>
                    <wp:anchor distT="0" distB="0" distL="0" distR="0" allowOverlap="1" layoutInCell="1" locked="0" behindDoc="1" simplePos="0" relativeHeight="484078592">
                      <wp:simplePos x="0" y="0"/>
                      <wp:positionH relativeFrom="column">
                        <wp:posOffset>4572</wp:posOffset>
                      </wp:positionH>
                      <wp:positionV relativeFrom="paragraph">
                        <wp:posOffset>144970</wp:posOffset>
                      </wp:positionV>
                      <wp:extent cx="818515" cy="2794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818515" cy="27940"/>
                                <a:chExt cx="818515" cy="27940"/>
                              </a:xfrm>
                            </wpg:grpSpPr>
                            <wps:wsp>
                              <wps:cNvPr id="17" name="Graphic 17"/>
                              <wps:cNvSpPr/>
                              <wps:spPr>
                                <a:xfrm>
                                  <a:off x="0" y="0"/>
                                  <a:ext cx="818515" cy="27940"/>
                                </a:xfrm>
                                <a:custGeom>
                                  <a:avLst/>
                                  <a:gdLst/>
                                  <a:ahLst/>
                                  <a:cxnLst/>
                                  <a:rect l="l" t="t" r="r" b="b"/>
                                  <a:pathLst>
                                    <a:path w="818515" h="27940">
                                      <a:moveTo>
                                        <a:pt x="818388" y="18288"/>
                                      </a:moveTo>
                                      <a:lnTo>
                                        <a:pt x="0" y="18288"/>
                                      </a:lnTo>
                                      <a:lnTo>
                                        <a:pt x="0" y="27432"/>
                                      </a:lnTo>
                                      <a:lnTo>
                                        <a:pt x="818388" y="27432"/>
                                      </a:lnTo>
                                      <a:lnTo>
                                        <a:pt x="818388" y="18288"/>
                                      </a:lnTo>
                                      <a:close/>
                                    </a:path>
                                    <a:path w="818515" h="27940">
                                      <a:moveTo>
                                        <a:pt x="818388" y="0"/>
                                      </a:moveTo>
                                      <a:lnTo>
                                        <a:pt x="0" y="0"/>
                                      </a:lnTo>
                                      <a:lnTo>
                                        <a:pt x="0" y="9144"/>
                                      </a:lnTo>
                                      <a:lnTo>
                                        <a:pt x="818388" y="9144"/>
                                      </a:lnTo>
                                      <a:lnTo>
                                        <a:pt x="818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11.414985pt;width:64.45pt;height:2.2pt;mso-position-horizontal-relative:column;mso-position-vertical-relative:paragraph;z-index:-19237888" id="docshapegroup16" coordorigin="7,228" coordsize="1289,44">
                      <v:shape style="position:absolute;left:7;top:228;width:1289;height:44" id="docshape17" coordorigin="7,228" coordsize="1289,44" path="m1296,257l7,257,7,272,1296,272,1296,257xm1296,228l7,228,7,243,1296,243,1296,228xe" filled="true" fillcolor="#000000" stroked="false">
                        <v:path arrowok="t"/>
                        <v:fill type="solid"/>
                      </v:shape>
                      <w10:wrap type="none"/>
                    </v:group>
                  </w:pict>
                </mc:Fallback>
              </mc:AlternateContent>
            </w:r>
            <w:r>
              <w:rPr>
                <w:spacing w:val="-4"/>
                <w:sz w:val="16"/>
              </w:rPr>
              <w:t>0,00</w:t>
            </w:r>
          </w:p>
        </w:tc>
        <w:tc>
          <w:tcPr>
            <w:tcW w:w="1296" w:type="dxa"/>
            <w:tcBorders>
              <w:top w:val="double" w:sz="6" w:space="0" w:color="000000"/>
              <w:bottom w:val="double" w:sz="6" w:space="0" w:color="000000"/>
            </w:tcBorders>
          </w:tcPr>
          <w:p>
            <w:pPr>
              <w:pStyle w:val="TableParagraph"/>
              <w:spacing w:line="184" w:lineRule="exact"/>
              <w:ind w:right="67"/>
              <w:jc w:val="right"/>
              <w:rPr>
                <w:sz w:val="16"/>
              </w:rPr>
            </w:pPr>
            <w:r>
              <w:rPr>
                <w:spacing w:val="-4"/>
                <w:sz w:val="16"/>
              </w:rPr>
              <w:t>0,00</w:t>
            </w:r>
          </w:p>
        </w:tc>
        <w:tc>
          <w:tcPr>
            <w:tcW w:w="187" w:type="dxa"/>
          </w:tcPr>
          <w:p>
            <w:pPr>
              <w:pStyle w:val="TableParagraph"/>
              <w:rPr>
                <w:sz w:val="16"/>
              </w:rPr>
            </w:pPr>
          </w:p>
        </w:tc>
        <w:tc>
          <w:tcPr>
            <w:tcW w:w="1296" w:type="dxa"/>
            <w:tcBorders>
              <w:top w:val="double" w:sz="6" w:space="0" w:color="000000"/>
              <w:bottom w:val="double" w:sz="6" w:space="0" w:color="000000"/>
            </w:tcBorders>
          </w:tcPr>
          <w:p>
            <w:pPr>
              <w:pStyle w:val="TableParagraph"/>
              <w:spacing w:line="184" w:lineRule="exact"/>
              <w:ind w:right="66"/>
              <w:jc w:val="right"/>
              <w:rPr>
                <w:sz w:val="16"/>
              </w:rPr>
            </w:pPr>
            <w:r>
              <w:rPr>
                <w:spacing w:val="-4"/>
                <w:sz w:val="16"/>
              </w:rPr>
              <w:t>0,00</w:t>
            </w:r>
          </w:p>
        </w:tc>
      </w:tr>
      <w:tr>
        <w:trPr>
          <w:trHeight w:val="226" w:hRule="atLeast"/>
        </w:trPr>
        <w:tc>
          <w:tcPr>
            <w:tcW w:w="2635" w:type="dxa"/>
          </w:tcPr>
          <w:p>
            <w:pPr>
              <w:pStyle w:val="TableParagraph"/>
              <w:spacing w:line="184" w:lineRule="exact"/>
              <w:ind w:left="50"/>
              <w:rPr>
                <w:sz w:val="16"/>
              </w:rPr>
            </w:pPr>
            <w:r>
              <w:rPr>
                <w:sz w:val="16"/>
              </w:rPr>
              <w:t>Saldo</w:t>
            </w:r>
            <w:r>
              <w:rPr>
                <w:spacing w:val="-3"/>
                <w:sz w:val="16"/>
              </w:rPr>
              <w:t> </w:t>
            </w:r>
            <w:r>
              <w:rPr>
                <w:sz w:val="16"/>
              </w:rPr>
              <w:t>al</w:t>
            </w:r>
            <w:r>
              <w:rPr>
                <w:spacing w:val="-3"/>
                <w:sz w:val="16"/>
              </w:rPr>
              <w:t> </w:t>
            </w:r>
            <w:r>
              <w:rPr>
                <w:spacing w:val="-2"/>
                <w:sz w:val="16"/>
              </w:rPr>
              <w:t>31.12.25</w:t>
            </w:r>
          </w:p>
        </w:tc>
        <w:tc>
          <w:tcPr>
            <w:tcW w:w="1483" w:type="dxa"/>
          </w:tcPr>
          <w:p>
            <w:pPr>
              <w:pStyle w:val="TableParagraph"/>
              <w:spacing w:line="184" w:lineRule="exact"/>
              <w:ind w:right="254"/>
              <w:jc w:val="right"/>
              <w:rPr>
                <w:sz w:val="16"/>
              </w:rPr>
            </w:pPr>
            <w:r>
              <w:rPr>
                <w:sz w:val="16"/>
              </w:rPr>
              <mc:AlternateContent>
                <mc:Choice Requires="wps">
                  <w:drawing>
                    <wp:anchor distT="0" distB="0" distL="0" distR="0" allowOverlap="1" layoutInCell="1" locked="0" behindDoc="1" simplePos="0" relativeHeight="484079104">
                      <wp:simplePos x="0" y="0"/>
                      <wp:positionH relativeFrom="column">
                        <wp:posOffset>4572</wp:posOffset>
                      </wp:positionH>
                      <wp:positionV relativeFrom="paragraph">
                        <wp:posOffset>144208</wp:posOffset>
                      </wp:positionV>
                      <wp:extent cx="818515" cy="2794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818515" cy="27940"/>
                                <a:chExt cx="818515" cy="27940"/>
                              </a:xfrm>
                            </wpg:grpSpPr>
                            <wps:wsp>
                              <wps:cNvPr id="19" name="Graphic 19"/>
                              <wps:cNvSpPr/>
                              <wps:spPr>
                                <a:xfrm>
                                  <a:off x="0" y="0"/>
                                  <a:ext cx="818515" cy="27940"/>
                                </a:xfrm>
                                <a:custGeom>
                                  <a:avLst/>
                                  <a:gdLst/>
                                  <a:ahLst/>
                                  <a:cxnLst/>
                                  <a:rect l="l" t="t" r="r" b="b"/>
                                  <a:pathLst>
                                    <a:path w="818515" h="27940">
                                      <a:moveTo>
                                        <a:pt x="818388" y="18288"/>
                                      </a:moveTo>
                                      <a:lnTo>
                                        <a:pt x="0" y="18288"/>
                                      </a:lnTo>
                                      <a:lnTo>
                                        <a:pt x="0" y="27432"/>
                                      </a:lnTo>
                                      <a:lnTo>
                                        <a:pt x="818388" y="27432"/>
                                      </a:lnTo>
                                      <a:lnTo>
                                        <a:pt x="818388" y="18288"/>
                                      </a:lnTo>
                                      <a:close/>
                                    </a:path>
                                    <a:path w="818515" h="27940">
                                      <a:moveTo>
                                        <a:pt x="818388" y="0"/>
                                      </a:moveTo>
                                      <a:lnTo>
                                        <a:pt x="0" y="0"/>
                                      </a:lnTo>
                                      <a:lnTo>
                                        <a:pt x="0" y="9144"/>
                                      </a:lnTo>
                                      <a:lnTo>
                                        <a:pt x="818388" y="9144"/>
                                      </a:lnTo>
                                      <a:lnTo>
                                        <a:pt x="818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11.354985pt;width:64.45pt;height:2.2pt;mso-position-horizontal-relative:column;mso-position-vertical-relative:paragraph;z-index:-19237376" id="docshapegroup18" coordorigin="7,227" coordsize="1289,44">
                      <v:shape style="position:absolute;left:7;top:227;width:1289;height:44" id="docshape19" coordorigin="7,227" coordsize="1289,44" path="m1296,256l7,256,7,270,1296,270,1296,256xm1296,227l7,227,7,242,1296,242,1296,227xe" filled="true" fillcolor="#000000" stroked="false">
                        <v:path arrowok="t"/>
                        <v:fill type="solid"/>
                      </v:shape>
                      <w10:wrap type="none"/>
                    </v:group>
                  </w:pict>
                </mc:Fallback>
              </mc:AlternateContent>
            </w:r>
            <w:r>
              <w:rPr>
                <w:spacing w:val="-2"/>
                <w:sz w:val="16"/>
              </w:rPr>
              <w:t>11.386,57</w:t>
            </w:r>
          </w:p>
        </w:tc>
        <w:tc>
          <w:tcPr>
            <w:tcW w:w="1296" w:type="dxa"/>
            <w:tcBorders>
              <w:top w:val="double" w:sz="6" w:space="0" w:color="000000"/>
              <w:bottom w:val="double" w:sz="6" w:space="0" w:color="000000"/>
            </w:tcBorders>
          </w:tcPr>
          <w:p>
            <w:pPr>
              <w:pStyle w:val="TableParagraph"/>
              <w:spacing w:line="184" w:lineRule="exact"/>
              <w:ind w:right="67"/>
              <w:jc w:val="right"/>
              <w:rPr>
                <w:sz w:val="16"/>
              </w:rPr>
            </w:pPr>
            <w:r>
              <w:rPr>
                <w:spacing w:val="-2"/>
                <w:sz w:val="16"/>
              </w:rPr>
              <w:t>3.164,16</w:t>
            </w:r>
          </w:p>
        </w:tc>
        <w:tc>
          <w:tcPr>
            <w:tcW w:w="187" w:type="dxa"/>
          </w:tcPr>
          <w:p>
            <w:pPr>
              <w:pStyle w:val="TableParagraph"/>
              <w:rPr>
                <w:sz w:val="16"/>
              </w:rPr>
            </w:pPr>
          </w:p>
        </w:tc>
        <w:tc>
          <w:tcPr>
            <w:tcW w:w="1296" w:type="dxa"/>
            <w:tcBorders>
              <w:top w:val="double" w:sz="6" w:space="0" w:color="000000"/>
              <w:bottom w:val="double" w:sz="6" w:space="0" w:color="000000"/>
            </w:tcBorders>
          </w:tcPr>
          <w:p>
            <w:pPr>
              <w:pStyle w:val="TableParagraph"/>
              <w:spacing w:line="184" w:lineRule="exact"/>
              <w:ind w:right="66"/>
              <w:jc w:val="right"/>
              <w:rPr>
                <w:sz w:val="16"/>
              </w:rPr>
            </w:pPr>
            <w:r>
              <w:rPr>
                <w:spacing w:val="-2"/>
                <w:sz w:val="16"/>
              </w:rPr>
              <w:t>14.550,73</w:t>
            </w:r>
          </w:p>
        </w:tc>
      </w:tr>
      <w:tr>
        <w:trPr>
          <w:trHeight w:val="454" w:hRule="atLeast"/>
        </w:trPr>
        <w:tc>
          <w:tcPr>
            <w:tcW w:w="2635" w:type="dxa"/>
          </w:tcPr>
          <w:p>
            <w:pPr>
              <w:pStyle w:val="TableParagraph"/>
              <w:spacing w:before="1"/>
              <w:ind w:left="50"/>
              <w:rPr>
                <w:sz w:val="16"/>
              </w:rPr>
            </w:pPr>
            <w:r>
              <w:rPr>
                <w:sz w:val="16"/>
                <w:u w:val="single"/>
              </w:rPr>
              <w:t>Amortización</w:t>
            </w:r>
            <w:r>
              <w:rPr>
                <w:spacing w:val="-10"/>
                <w:sz w:val="16"/>
                <w:u w:val="single"/>
              </w:rPr>
              <w:t> </w:t>
            </w:r>
            <w:r>
              <w:rPr>
                <w:spacing w:val="-2"/>
                <w:sz w:val="16"/>
                <w:u w:val="single"/>
              </w:rPr>
              <w:t>acumulada</w:t>
            </w:r>
          </w:p>
          <w:p>
            <w:pPr>
              <w:pStyle w:val="TableParagraph"/>
              <w:spacing w:before="42"/>
              <w:ind w:left="50"/>
              <w:rPr>
                <w:sz w:val="16"/>
              </w:rPr>
            </w:pPr>
            <w:r>
              <w:rPr>
                <w:sz w:val="16"/>
              </w:rPr>
              <w:t>Saldo</w:t>
            </w:r>
            <w:r>
              <w:rPr>
                <w:spacing w:val="-3"/>
                <w:sz w:val="16"/>
              </w:rPr>
              <w:t> </w:t>
            </w:r>
            <w:r>
              <w:rPr>
                <w:sz w:val="16"/>
              </w:rPr>
              <w:t>al</w:t>
            </w:r>
            <w:r>
              <w:rPr>
                <w:spacing w:val="-3"/>
                <w:sz w:val="16"/>
              </w:rPr>
              <w:t> </w:t>
            </w:r>
            <w:r>
              <w:rPr>
                <w:spacing w:val="-2"/>
                <w:sz w:val="16"/>
              </w:rPr>
              <w:t>01.01.24</w:t>
            </w:r>
          </w:p>
        </w:tc>
        <w:tc>
          <w:tcPr>
            <w:tcW w:w="1483" w:type="dxa"/>
          </w:tcPr>
          <w:p>
            <w:pPr>
              <w:pStyle w:val="TableParagraph"/>
              <w:spacing w:before="43"/>
              <w:rPr>
                <w:sz w:val="16"/>
              </w:rPr>
            </w:pPr>
          </w:p>
          <w:p>
            <w:pPr>
              <w:pStyle w:val="TableParagraph"/>
              <w:ind w:right="254"/>
              <w:jc w:val="right"/>
              <w:rPr>
                <w:sz w:val="16"/>
              </w:rPr>
            </w:pPr>
            <w:r>
              <w:rPr>
                <w:sz w:val="16"/>
              </w:rPr>
              <mc:AlternateContent>
                <mc:Choice Requires="wps">
                  <w:drawing>
                    <wp:anchor distT="0" distB="0" distL="0" distR="0" allowOverlap="1" layoutInCell="1" locked="0" behindDoc="1" simplePos="0" relativeHeight="484079616">
                      <wp:simplePos x="0" y="0"/>
                      <wp:positionH relativeFrom="column">
                        <wp:posOffset>4572</wp:posOffset>
                      </wp:positionH>
                      <wp:positionV relativeFrom="paragraph">
                        <wp:posOffset>144383</wp:posOffset>
                      </wp:positionV>
                      <wp:extent cx="818515" cy="2794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818515" cy="27940"/>
                                <a:chExt cx="818515" cy="27940"/>
                              </a:xfrm>
                            </wpg:grpSpPr>
                            <wps:wsp>
                              <wps:cNvPr id="21" name="Graphic 21"/>
                              <wps:cNvSpPr/>
                              <wps:spPr>
                                <a:xfrm>
                                  <a:off x="0" y="12"/>
                                  <a:ext cx="818515" cy="27940"/>
                                </a:xfrm>
                                <a:custGeom>
                                  <a:avLst/>
                                  <a:gdLst/>
                                  <a:ahLst/>
                                  <a:cxnLst/>
                                  <a:rect l="l" t="t" r="r" b="b"/>
                                  <a:pathLst>
                                    <a:path w="818515" h="27940">
                                      <a:moveTo>
                                        <a:pt x="818388" y="18288"/>
                                      </a:moveTo>
                                      <a:lnTo>
                                        <a:pt x="0" y="18288"/>
                                      </a:lnTo>
                                      <a:lnTo>
                                        <a:pt x="0" y="27419"/>
                                      </a:lnTo>
                                      <a:lnTo>
                                        <a:pt x="818388" y="27419"/>
                                      </a:lnTo>
                                      <a:lnTo>
                                        <a:pt x="818388" y="18288"/>
                                      </a:lnTo>
                                      <a:close/>
                                    </a:path>
                                    <a:path w="818515" h="27940">
                                      <a:moveTo>
                                        <a:pt x="818388" y="0"/>
                                      </a:moveTo>
                                      <a:lnTo>
                                        <a:pt x="0" y="0"/>
                                      </a:lnTo>
                                      <a:lnTo>
                                        <a:pt x="0" y="9131"/>
                                      </a:lnTo>
                                      <a:lnTo>
                                        <a:pt x="818388" y="9131"/>
                                      </a:lnTo>
                                      <a:lnTo>
                                        <a:pt x="818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11.36879pt;width:64.45pt;height:2.2pt;mso-position-horizontal-relative:column;mso-position-vertical-relative:paragraph;z-index:-19236864" id="docshapegroup20" coordorigin="7,227" coordsize="1289,44">
                      <v:shape style="position:absolute;left:7;top:227;width:1289;height:44" id="docshape21" coordorigin="7,227" coordsize="1289,44" path="m1296,256l7,256,7,271,1296,271,1296,256xm1296,227l7,227,7,242,1296,242,1296,227xe" filled="true" fillcolor="#000000" stroked="false">
                        <v:path arrowok="t"/>
                        <v:fill type="solid"/>
                      </v:shape>
                      <w10:wrap type="none"/>
                    </v:group>
                  </w:pict>
                </mc:Fallback>
              </mc:AlternateContent>
            </w:r>
            <w:r>
              <w:rPr>
                <w:spacing w:val="-2"/>
                <w:sz w:val="16"/>
              </w:rPr>
              <w:t>-11.278,11</w:t>
            </w:r>
          </w:p>
        </w:tc>
        <w:tc>
          <w:tcPr>
            <w:tcW w:w="1296" w:type="dxa"/>
            <w:tcBorders>
              <w:top w:val="double" w:sz="6" w:space="0" w:color="000000"/>
              <w:bottom w:val="double" w:sz="6" w:space="0" w:color="000000"/>
            </w:tcBorders>
          </w:tcPr>
          <w:p>
            <w:pPr>
              <w:pStyle w:val="TableParagraph"/>
              <w:spacing w:before="43"/>
              <w:rPr>
                <w:sz w:val="16"/>
              </w:rPr>
            </w:pPr>
          </w:p>
          <w:p>
            <w:pPr>
              <w:pStyle w:val="TableParagraph"/>
              <w:ind w:right="67"/>
              <w:jc w:val="right"/>
              <w:rPr>
                <w:sz w:val="16"/>
              </w:rPr>
            </w:pPr>
            <w:r>
              <w:rPr>
                <w:spacing w:val="-2"/>
                <w:sz w:val="16"/>
              </w:rPr>
              <w:t>-3.164,16</w:t>
            </w:r>
          </w:p>
        </w:tc>
        <w:tc>
          <w:tcPr>
            <w:tcW w:w="187" w:type="dxa"/>
          </w:tcPr>
          <w:p>
            <w:pPr>
              <w:pStyle w:val="TableParagraph"/>
              <w:rPr>
                <w:sz w:val="20"/>
              </w:rPr>
            </w:pPr>
          </w:p>
        </w:tc>
        <w:tc>
          <w:tcPr>
            <w:tcW w:w="1296" w:type="dxa"/>
            <w:tcBorders>
              <w:top w:val="double" w:sz="6" w:space="0" w:color="000000"/>
              <w:bottom w:val="double" w:sz="6" w:space="0" w:color="000000"/>
            </w:tcBorders>
          </w:tcPr>
          <w:p>
            <w:pPr>
              <w:pStyle w:val="TableParagraph"/>
              <w:spacing w:before="43"/>
              <w:rPr>
                <w:sz w:val="16"/>
              </w:rPr>
            </w:pPr>
          </w:p>
          <w:p>
            <w:pPr>
              <w:pStyle w:val="TableParagraph"/>
              <w:ind w:right="66"/>
              <w:jc w:val="right"/>
              <w:rPr>
                <w:sz w:val="16"/>
              </w:rPr>
            </w:pPr>
            <w:r>
              <w:rPr>
                <w:spacing w:val="-2"/>
                <w:sz w:val="16"/>
              </w:rPr>
              <w:t>-14.442,27</w:t>
            </w:r>
          </w:p>
        </w:tc>
      </w:tr>
      <w:tr>
        <w:trPr>
          <w:trHeight w:val="228" w:hRule="atLeast"/>
        </w:trPr>
        <w:tc>
          <w:tcPr>
            <w:tcW w:w="2635" w:type="dxa"/>
          </w:tcPr>
          <w:p>
            <w:pPr>
              <w:pStyle w:val="TableParagraph"/>
              <w:spacing w:before="1"/>
              <w:ind w:left="50"/>
              <w:rPr>
                <w:sz w:val="16"/>
              </w:rPr>
            </w:pPr>
            <w:r>
              <w:rPr>
                <w:sz w:val="16"/>
              </w:rPr>
              <w:t>Dotación</w:t>
            </w:r>
            <w:r>
              <w:rPr>
                <w:spacing w:val="-3"/>
                <w:sz w:val="16"/>
              </w:rPr>
              <w:t> </w:t>
            </w:r>
            <w:r>
              <w:rPr>
                <w:sz w:val="16"/>
              </w:rPr>
              <w:t>a</w:t>
            </w:r>
            <w:r>
              <w:rPr>
                <w:spacing w:val="-4"/>
                <w:sz w:val="16"/>
              </w:rPr>
              <w:t> </w:t>
            </w:r>
            <w:r>
              <w:rPr>
                <w:sz w:val="16"/>
              </w:rPr>
              <w:t>la</w:t>
            </w:r>
            <w:r>
              <w:rPr>
                <w:spacing w:val="-3"/>
                <w:sz w:val="16"/>
              </w:rPr>
              <w:t> </w:t>
            </w:r>
            <w:r>
              <w:rPr>
                <w:spacing w:val="-2"/>
                <w:sz w:val="16"/>
              </w:rPr>
              <w:t>amortización</w:t>
            </w:r>
          </w:p>
        </w:tc>
        <w:tc>
          <w:tcPr>
            <w:tcW w:w="1483" w:type="dxa"/>
          </w:tcPr>
          <w:p>
            <w:pPr>
              <w:pStyle w:val="TableParagraph"/>
              <w:spacing w:before="1"/>
              <w:ind w:right="254"/>
              <w:jc w:val="right"/>
              <w:rPr>
                <w:sz w:val="16"/>
              </w:rPr>
            </w:pPr>
            <w:r>
              <w:rPr>
                <w:sz w:val="16"/>
              </w:rPr>
              <mc:AlternateContent>
                <mc:Choice Requires="wps">
                  <w:drawing>
                    <wp:anchor distT="0" distB="0" distL="0" distR="0" allowOverlap="1" layoutInCell="1" locked="0" behindDoc="1" simplePos="0" relativeHeight="484080128">
                      <wp:simplePos x="0" y="0"/>
                      <wp:positionH relativeFrom="column">
                        <wp:posOffset>4572</wp:posOffset>
                      </wp:positionH>
                      <wp:positionV relativeFrom="paragraph">
                        <wp:posOffset>145018</wp:posOffset>
                      </wp:positionV>
                      <wp:extent cx="818515" cy="1905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818515" cy="19050"/>
                                <a:chExt cx="818515" cy="19050"/>
                              </a:xfrm>
                            </wpg:grpSpPr>
                            <wps:wsp>
                              <wps:cNvPr id="23" name="Graphic 23"/>
                              <wps:cNvSpPr/>
                              <wps:spPr>
                                <a:xfrm>
                                  <a:off x="0" y="0"/>
                                  <a:ext cx="818515" cy="19050"/>
                                </a:xfrm>
                                <a:custGeom>
                                  <a:avLst/>
                                  <a:gdLst/>
                                  <a:ahLst/>
                                  <a:cxnLst/>
                                  <a:rect l="l" t="t" r="r" b="b"/>
                                  <a:pathLst>
                                    <a:path w="818515" h="19050">
                                      <a:moveTo>
                                        <a:pt x="818388" y="0"/>
                                      </a:moveTo>
                                      <a:lnTo>
                                        <a:pt x="0" y="0"/>
                                      </a:lnTo>
                                      <a:lnTo>
                                        <a:pt x="0" y="19050"/>
                                      </a:lnTo>
                                      <a:lnTo>
                                        <a:pt x="818388" y="19050"/>
                                      </a:lnTo>
                                      <a:lnTo>
                                        <a:pt x="818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11.418745pt;width:64.45pt;height:1.5pt;mso-position-horizontal-relative:column;mso-position-vertical-relative:paragraph;z-index:-19236352" id="docshapegroup22" coordorigin="7,228" coordsize="1289,30">
                      <v:rect style="position:absolute;left:7;top:228;width:1289;height:30" id="docshape23" filled="true" fillcolor="#000000" stroked="false">
                        <v:fill type="solid"/>
                      </v:rect>
                      <w10:wrap type="none"/>
                    </v:group>
                  </w:pict>
                </mc:Fallback>
              </mc:AlternateContent>
            </w:r>
            <w:r>
              <w:rPr>
                <w:spacing w:val="-2"/>
                <w:sz w:val="16"/>
              </w:rPr>
              <w:t>-20,66</w:t>
            </w:r>
          </w:p>
        </w:tc>
        <w:tc>
          <w:tcPr>
            <w:tcW w:w="1296" w:type="dxa"/>
            <w:tcBorders>
              <w:top w:val="double" w:sz="6" w:space="0" w:color="000000"/>
              <w:bottom w:val="single" w:sz="12" w:space="0" w:color="000000"/>
            </w:tcBorders>
          </w:tcPr>
          <w:p>
            <w:pPr>
              <w:pStyle w:val="TableParagraph"/>
              <w:spacing w:before="1"/>
              <w:ind w:right="66"/>
              <w:jc w:val="right"/>
              <w:rPr>
                <w:sz w:val="16"/>
              </w:rPr>
            </w:pPr>
            <w:r>
              <w:rPr>
                <w:spacing w:val="-10"/>
                <w:sz w:val="16"/>
              </w:rPr>
              <w:t>-</w:t>
            </w:r>
          </w:p>
        </w:tc>
        <w:tc>
          <w:tcPr>
            <w:tcW w:w="187" w:type="dxa"/>
          </w:tcPr>
          <w:p>
            <w:pPr>
              <w:pStyle w:val="TableParagraph"/>
              <w:rPr>
                <w:sz w:val="16"/>
              </w:rPr>
            </w:pPr>
          </w:p>
        </w:tc>
        <w:tc>
          <w:tcPr>
            <w:tcW w:w="1296" w:type="dxa"/>
            <w:tcBorders>
              <w:top w:val="double" w:sz="6" w:space="0" w:color="000000"/>
              <w:bottom w:val="single" w:sz="12" w:space="0" w:color="000000"/>
            </w:tcBorders>
          </w:tcPr>
          <w:p>
            <w:pPr>
              <w:pStyle w:val="TableParagraph"/>
              <w:spacing w:before="1"/>
              <w:ind w:right="66"/>
              <w:jc w:val="right"/>
              <w:rPr>
                <w:sz w:val="16"/>
              </w:rPr>
            </w:pPr>
            <w:r>
              <w:rPr>
                <w:spacing w:val="-2"/>
                <w:sz w:val="16"/>
              </w:rPr>
              <w:t>-20,66</w:t>
            </w:r>
          </w:p>
        </w:tc>
      </w:tr>
      <w:tr>
        <w:trPr>
          <w:trHeight w:val="225" w:hRule="atLeast"/>
        </w:trPr>
        <w:tc>
          <w:tcPr>
            <w:tcW w:w="2635" w:type="dxa"/>
          </w:tcPr>
          <w:p>
            <w:pPr>
              <w:pStyle w:val="TableParagraph"/>
              <w:spacing w:line="183" w:lineRule="exact"/>
              <w:ind w:left="50"/>
              <w:rPr>
                <w:sz w:val="16"/>
              </w:rPr>
            </w:pPr>
            <w:r>
              <w:rPr>
                <w:sz w:val="16"/>
              </w:rPr>
              <w:t>Saldo</w:t>
            </w:r>
            <w:r>
              <w:rPr>
                <w:spacing w:val="-3"/>
                <w:sz w:val="16"/>
              </w:rPr>
              <w:t> </w:t>
            </w:r>
            <w:r>
              <w:rPr>
                <w:sz w:val="16"/>
              </w:rPr>
              <w:t>al</w:t>
            </w:r>
            <w:r>
              <w:rPr>
                <w:spacing w:val="-3"/>
                <w:sz w:val="16"/>
              </w:rPr>
              <w:t> </w:t>
            </w:r>
            <w:r>
              <w:rPr>
                <w:spacing w:val="-2"/>
                <w:sz w:val="16"/>
              </w:rPr>
              <w:t>31.12.24</w:t>
            </w:r>
          </w:p>
        </w:tc>
        <w:tc>
          <w:tcPr>
            <w:tcW w:w="1483" w:type="dxa"/>
          </w:tcPr>
          <w:p>
            <w:pPr>
              <w:pStyle w:val="TableParagraph"/>
              <w:spacing w:line="183" w:lineRule="exact"/>
              <w:ind w:right="254"/>
              <w:jc w:val="right"/>
              <w:rPr>
                <w:sz w:val="16"/>
              </w:rPr>
            </w:pPr>
            <w:r>
              <w:rPr>
                <w:sz w:val="16"/>
              </w:rPr>
              <mc:AlternateContent>
                <mc:Choice Requires="wps">
                  <w:drawing>
                    <wp:anchor distT="0" distB="0" distL="0" distR="0" allowOverlap="1" layoutInCell="1" locked="0" behindDoc="1" simplePos="0" relativeHeight="484080640">
                      <wp:simplePos x="0" y="0"/>
                      <wp:positionH relativeFrom="column">
                        <wp:posOffset>4572</wp:posOffset>
                      </wp:positionH>
                      <wp:positionV relativeFrom="paragraph">
                        <wp:posOffset>144017</wp:posOffset>
                      </wp:positionV>
                      <wp:extent cx="818515" cy="2794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818515" cy="27940"/>
                                <a:chExt cx="818515" cy="27940"/>
                              </a:xfrm>
                            </wpg:grpSpPr>
                            <wps:wsp>
                              <wps:cNvPr id="25" name="Graphic 25"/>
                              <wps:cNvSpPr/>
                              <wps:spPr>
                                <a:xfrm>
                                  <a:off x="0" y="0"/>
                                  <a:ext cx="818515" cy="27940"/>
                                </a:xfrm>
                                <a:custGeom>
                                  <a:avLst/>
                                  <a:gdLst/>
                                  <a:ahLst/>
                                  <a:cxnLst/>
                                  <a:rect l="l" t="t" r="r" b="b"/>
                                  <a:pathLst>
                                    <a:path w="818515" h="27940">
                                      <a:moveTo>
                                        <a:pt x="818388" y="18288"/>
                                      </a:moveTo>
                                      <a:lnTo>
                                        <a:pt x="0" y="18288"/>
                                      </a:lnTo>
                                      <a:lnTo>
                                        <a:pt x="0" y="27432"/>
                                      </a:lnTo>
                                      <a:lnTo>
                                        <a:pt x="818388" y="27432"/>
                                      </a:lnTo>
                                      <a:lnTo>
                                        <a:pt x="818388" y="18288"/>
                                      </a:lnTo>
                                      <a:close/>
                                    </a:path>
                                    <a:path w="818515" h="27940">
                                      <a:moveTo>
                                        <a:pt x="818388" y="0"/>
                                      </a:moveTo>
                                      <a:lnTo>
                                        <a:pt x="0" y="0"/>
                                      </a:lnTo>
                                      <a:lnTo>
                                        <a:pt x="0" y="9144"/>
                                      </a:lnTo>
                                      <a:lnTo>
                                        <a:pt x="818388" y="9144"/>
                                      </a:lnTo>
                                      <a:lnTo>
                                        <a:pt x="818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11.33997pt;width:64.45pt;height:2.2pt;mso-position-horizontal-relative:column;mso-position-vertical-relative:paragraph;z-index:-19235840" id="docshapegroup24" coordorigin="7,227" coordsize="1289,44">
                      <v:shape style="position:absolute;left:7;top:226;width:1289;height:44" id="docshape25" coordorigin="7,227" coordsize="1289,44" path="m1296,256l7,256,7,270,1296,270,1296,256xm1296,227l7,227,7,241,1296,241,1296,227xe" filled="true" fillcolor="#000000" stroked="false">
                        <v:path arrowok="t"/>
                        <v:fill type="solid"/>
                      </v:shape>
                      <w10:wrap type="none"/>
                    </v:group>
                  </w:pict>
                </mc:Fallback>
              </mc:AlternateContent>
            </w:r>
            <w:r>
              <w:rPr>
                <w:spacing w:val="-2"/>
                <w:sz w:val="16"/>
              </w:rPr>
              <w:t>-11.298,77</w:t>
            </w:r>
          </w:p>
        </w:tc>
        <w:tc>
          <w:tcPr>
            <w:tcW w:w="1296" w:type="dxa"/>
            <w:tcBorders>
              <w:top w:val="single" w:sz="12" w:space="0" w:color="000000"/>
              <w:bottom w:val="double" w:sz="6" w:space="0" w:color="000000"/>
            </w:tcBorders>
          </w:tcPr>
          <w:p>
            <w:pPr>
              <w:pStyle w:val="TableParagraph"/>
              <w:spacing w:line="183" w:lineRule="exact"/>
              <w:ind w:right="67"/>
              <w:jc w:val="right"/>
              <w:rPr>
                <w:sz w:val="16"/>
              </w:rPr>
            </w:pPr>
            <w:r>
              <w:rPr>
                <w:spacing w:val="-2"/>
                <w:sz w:val="16"/>
              </w:rPr>
              <w:t>-3.164,16</w:t>
            </w:r>
          </w:p>
        </w:tc>
        <w:tc>
          <w:tcPr>
            <w:tcW w:w="187" w:type="dxa"/>
          </w:tcPr>
          <w:p>
            <w:pPr>
              <w:pStyle w:val="TableParagraph"/>
              <w:rPr>
                <w:sz w:val="16"/>
              </w:rPr>
            </w:pPr>
          </w:p>
        </w:tc>
        <w:tc>
          <w:tcPr>
            <w:tcW w:w="1296" w:type="dxa"/>
            <w:tcBorders>
              <w:top w:val="single" w:sz="12" w:space="0" w:color="000000"/>
              <w:bottom w:val="double" w:sz="6" w:space="0" w:color="000000"/>
            </w:tcBorders>
          </w:tcPr>
          <w:p>
            <w:pPr>
              <w:pStyle w:val="TableParagraph"/>
              <w:spacing w:line="183" w:lineRule="exact"/>
              <w:ind w:right="66"/>
              <w:jc w:val="right"/>
              <w:rPr>
                <w:sz w:val="16"/>
              </w:rPr>
            </w:pPr>
            <w:r>
              <w:rPr>
                <w:spacing w:val="-2"/>
                <w:sz w:val="16"/>
              </w:rPr>
              <w:t>-14.462,93</w:t>
            </w:r>
          </w:p>
        </w:tc>
      </w:tr>
      <w:tr>
        <w:trPr>
          <w:trHeight w:val="228" w:hRule="atLeast"/>
        </w:trPr>
        <w:tc>
          <w:tcPr>
            <w:tcW w:w="2635" w:type="dxa"/>
          </w:tcPr>
          <w:p>
            <w:pPr>
              <w:pStyle w:val="TableParagraph"/>
              <w:spacing w:line="184" w:lineRule="exact"/>
              <w:ind w:left="50"/>
              <w:rPr>
                <w:sz w:val="16"/>
              </w:rPr>
            </w:pPr>
            <w:r>
              <w:rPr>
                <w:sz w:val="16"/>
              </w:rPr>
              <w:t>Dotación</w:t>
            </w:r>
            <w:r>
              <w:rPr>
                <w:spacing w:val="-3"/>
                <w:sz w:val="16"/>
              </w:rPr>
              <w:t> </w:t>
            </w:r>
            <w:r>
              <w:rPr>
                <w:sz w:val="16"/>
              </w:rPr>
              <w:t>a</w:t>
            </w:r>
            <w:r>
              <w:rPr>
                <w:spacing w:val="-4"/>
                <w:sz w:val="16"/>
              </w:rPr>
              <w:t> </w:t>
            </w:r>
            <w:r>
              <w:rPr>
                <w:sz w:val="16"/>
              </w:rPr>
              <w:t>la</w:t>
            </w:r>
            <w:r>
              <w:rPr>
                <w:spacing w:val="-3"/>
                <w:sz w:val="16"/>
              </w:rPr>
              <w:t> </w:t>
            </w:r>
            <w:r>
              <w:rPr>
                <w:spacing w:val="-2"/>
                <w:sz w:val="16"/>
              </w:rPr>
              <w:t>amortización</w:t>
            </w:r>
          </w:p>
        </w:tc>
        <w:tc>
          <w:tcPr>
            <w:tcW w:w="1483" w:type="dxa"/>
          </w:tcPr>
          <w:p>
            <w:pPr>
              <w:pStyle w:val="TableParagraph"/>
              <w:spacing w:line="184" w:lineRule="exact"/>
              <w:ind w:right="254"/>
              <w:jc w:val="right"/>
              <w:rPr>
                <w:sz w:val="16"/>
              </w:rPr>
            </w:pPr>
            <w:r>
              <w:rPr>
                <w:sz w:val="16"/>
              </w:rPr>
              <mc:AlternateContent>
                <mc:Choice Requires="wps">
                  <w:drawing>
                    <wp:anchor distT="0" distB="0" distL="0" distR="0" allowOverlap="1" layoutInCell="1" locked="0" behindDoc="1" simplePos="0" relativeHeight="484081152">
                      <wp:simplePos x="0" y="0"/>
                      <wp:positionH relativeFrom="column">
                        <wp:posOffset>4572</wp:posOffset>
                      </wp:positionH>
                      <wp:positionV relativeFrom="paragraph">
                        <wp:posOffset>144970</wp:posOffset>
                      </wp:positionV>
                      <wp:extent cx="818515" cy="1905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818515" cy="19050"/>
                                <a:chExt cx="818515" cy="19050"/>
                              </a:xfrm>
                            </wpg:grpSpPr>
                            <wps:wsp>
                              <wps:cNvPr id="27" name="Graphic 27"/>
                              <wps:cNvSpPr/>
                              <wps:spPr>
                                <a:xfrm>
                                  <a:off x="0" y="0"/>
                                  <a:ext cx="818515" cy="19050"/>
                                </a:xfrm>
                                <a:custGeom>
                                  <a:avLst/>
                                  <a:gdLst/>
                                  <a:ahLst/>
                                  <a:cxnLst/>
                                  <a:rect l="l" t="t" r="r" b="b"/>
                                  <a:pathLst>
                                    <a:path w="818515" h="19050">
                                      <a:moveTo>
                                        <a:pt x="818388" y="0"/>
                                      </a:moveTo>
                                      <a:lnTo>
                                        <a:pt x="0" y="0"/>
                                      </a:lnTo>
                                      <a:lnTo>
                                        <a:pt x="0" y="19050"/>
                                      </a:lnTo>
                                      <a:lnTo>
                                        <a:pt x="818388" y="19050"/>
                                      </a:lnTo>
                                      <a:lnTo>
                                        <a:pt x="818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11.415015pt;width:64.45pt;height:1.5pt;mso-position-horizontal-relative:column;mso-position-vertical-relative:paragraph;z-index:-19235328" id="docshapegroup26" coordorigin="7,228" coordsize="1289,30">
                      <v:rect style="position:absolute;left:7;top:228;width:1289;height:30" id="docshape27" filled="true" fillcolor="#000000" stroked="false">
                        <v:fill type="solid"/>
                      </v:rect>
                      <w10:wrap type="none"/>
                    </v:group>
                  </w:pict>
                </mc:Fallback>
              </mc:AlternateContent>
            </w:r>
            <w:r>
              <w:rPr>
                <w:spacing w:val="-2"/>
                <w:sz w:val="16"/>
              </w:rPr>
              <w:t>-20,66</w:t>
            </w:r>
          </w:p>
        </w:tc>
        <w:tc>
          <w:tcPr>
            <w:tcW w:w="1296" w:type="dxa"/>
            <w:tcBorders>
              <w:top w:val="double" w:sz="6" w:space="0" w:color="000000"/>
              <w:bottom w:val="single" w:sz="12" w:space="0" w:color="000000"/>
            </w:tcBorders>
          </w:tcPr>
          <w:p>
            <w:pPr>
              <w:pStyle w:val="TableParagraph"/>
              <w:spacing w:line="184" w:lineRule="exact"/>
              <w:ind w:right="66"/>
              <w:jc w:val="right"/>
              <w:rPr>
                <w:sz w:val="16"/>
              </w:rPr>
            </w:pPr>
            <w:r>
              <w:rPr>
                <w:spacing w:val="-10"/>
                <w:sz w:val="16"/>
              </w:rPr>
              <w:t>-</w:t>
            </w:r>
          </w:p>
        </w:tc>
        <w:tc>
          <w:tcPr>
            <w:tcW w:w="187" w:type="dxa"/>
          </w:tcPr>
          <w:p>
            <w:pPr>
              <w:pStyle w:val="TableParagraph"/>
              <w:rPr>
                <w:sz w:val="16"/>
              </w:rPr>
            </w:pPr>
          </w:p>
        </w:tc>
        <w:tc>
          <w:tcPr>
            <w:tcW w:w="1296" w:type="dxa"/>
            <w:tcBorders>
              <w:top w:val="double" w:sz="6" w:space="0" w:color="000000"/>
              <w:bottom w:val="single" w:sz="12" w:space="0" w:color="000000"/>
            </w:tcBorders>
          </w:tcPr>
          <w:p>
            <w:pPr>
              <w:pStyle w:val="TableParagraph"/>
              <w:spacing w:line="184" w:lineRule="exact"/>
              <w:ind w:right="66"/>
              <w:jc w:val="right"/>
              <w:rPr>
                <w:sz w:val="16"/>
              </w:rPr>
            </w:pPr>
            <w:r>
              <w:rPr>
                <w:spacing w:val="-2"/>
                <w:sz w:val="16"/>
              </w:rPr>
              <w:t>-20,66</w:t>
            </w:r>
          </w:p>
        </w:tc>
      </w:tr>
      <w:tr>
        <w:trPr>
          <w:trHeight w:val="225" w:hRule="atLeast"/>
        </w:trPr>
        <w:tc>
          <w:tcPr>
            <w:tcW w:w="2635" w:type="dxa"/>
          </w:tcPr>
          <w:p>
            <w:pPr>
              <w:pStyle w:val="TableParagraph"/>
              <w:spacing w:line="183" w:lineRule="exact"/>
              <w:ind w:left="50"/>
              <w:rPr>
                <w:sz w:val="16"/>
              </w:rPr>
            </w:pPr>
            <w:r>
              <w:rPr>
                <w:sz w:val="16"/>
              </w:rPr>
              <w:t>Saldo</w:t>
            </w:r>
            <w:r>
              <w:rPr>
                <w:spacing w:val="-3"/>
                <w:sz w:val="16"/>
              </w:rPr>
              <w:t> </w:t>
            </w:r>
            <w:r>
              <w:rPr>
                <w:sz w:val="16"/>
              </w:rPr>
              <w:t>al</w:t>
            </w:r>
            <w:r>
              <w:rPr>
                <w:spacing w:val="-3"/>
                <w:sz w:val="16"/>
              </w:rPr>
              <w:t> </w:t>
            </w:r>
            <w:r>
              <w:rPr>
                <w:spacing w:val="-2"/>
                <w:sz w:val="16"/>
              </w:rPr>
              <w:t>31.12.25</w:t>
            </w:r>
          </w:p>
        </w:tc>
        <w:tc>
          <w:tcPr>
            <w:tcW w:w="1483" w:type="dxa"/>
          </w:tcPr>
          <w:p>
            <w:pPr>
              <w:pStyle w:val="TableParagraph"/>
              <w:spacing w:line="183" w:lineRule="exact"/>
              <w:ind w:right="254"/>
              <w:jc w:val="right"/>
              <w:rPr>
                <w:sz w:val="16"/>
              </w:rPr>
            </w:pPr>
            <w:r>
              <w:rPr>
                <w:sz w:val="16"/>
              </w:rPr>
              <mc:AlternateContent>
                <mc:Choice Requires="wps">
                  <w:drawing>
                    <wp:anchor distT="0" distB="0" distL="0" distR="0" allowOverlap="1" layoutInCell="1" locked="0" behindDoc="1" simplePos="0" relativeHeight="484081664">
                      <wp:simplePos x="0" y="0"/>
                      <wp:positionH relativeFrom="column">
                        <wp:posOffset>4572</wp:posOffset>
                      </wp:positionH>
                      <wp:positionV relativeFrom="paragraph">
                        <wp:posOffset>144018</wp:posOffset>
                      </wp:positionV>
                      <wp:extent cx="818515" cy="2794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818515" cy="27940"/>
                                <a:chExt cx="818515" cy="27940"/>
                              </a:xfrm>
                            </wpg:grpSpPr>
                            <wps:wsp>
                              <wps:cNvPr id="29" name="Graphic 29"/>
                              <wps:cNvSpPr/>
                              <wps:spPr>
                                <a:xfrm>
                                  <a:off x="0" y="12"/>
                                  <a:ext cx="818515" cy="27940"/>
                                </a:xfrm>
                                <a:custGeom>
                                  <a:avLst/>
                                  <a:gdLst/>
                                  <a:ahLst/>
                                  <a:cxnLst/>
                                  <a:rect l="l" t="t" r="r" b="b"/>
                                  <a:pathLst>
                                    <a:path w="818515" h="27940">
                                      <a:moveTo>
                                        <a:pt x="818388" y="18288"/>
                                      </a:moveTo>
                                      <a:lnTo>
                                        <a:pt x="0" y="18288"/>
                                      </a:lnTo>
                                      <a:lnTo>
                                        <a:pt x="0" y="27419"/>
                                      </a:lnTo>
                                      <a:lnTo>
                                        <a:pt x="818388" y="27419"/>
                                      </a:lnTo>
                                      <a:lnTo>
                                        <a:pt x="818388" y="18288"/>
                                      </a:lnTo>
                                      <a:close/>
                                    </a:path>
                                    <a:path w="818515" h="27940">
                                      <a:moveTo>
                                        <a:pt x="818388" y="0"/>
                                      </a:moveTo>
                                      <a:lnTo>
                                        <a:pt x="0" y="0"/>
                                      </a:lnTo>
                                      <a:lnTo>
                                        <a:pt x="0" y="9131"/>
                                      </a:lnTo>
                                      <a:lnTo>
                                        <a:pt x="818388" y="9131"/>
                                      </a:lnTo>
                                      <a:lnTo>
                                        <a:pt x="818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11.34003pt;width:64.45pt;height:2.2pt;mso-position-horizontal-relative:column;mso-position-vertical-relative:paragraph;z-index:-19234816" id="docshapegroup28" coordorigin="7,227" coordsize="1289,44">
                      <v:shape style="position:absolute;left:7;top:226;width:1289;height:44" id="docshape29" coordorigin="7,227" coordsize="1289,44" path="m1296,256l7,256,7,270,1296,270,1296,256xm1296,227l7,227,7,241,1296,241,1296,227xe" filled="true" fillcolor="#000000" stroked="false">
                        <v:path arrowok="t"/>
                        <v:fill type="solid"/>
                      </v:shape>
                      <w10:wrap type="none"/>
                    </v:group>
                  </w:pict>
                </mc:Fallback>
              </mc:AlternateContent>
            </w:r>
            <w:r>
              <w:rPr>
                <w:spacing w:val="-2"/>
                <w:sz w:val="16"/>
              </w:rPr>
              <w:t>-11.319,43</w:t>
            </w:r>
          </w:p>
        </w:tc>
        <w:tc>
          <w:tcPr>
            <w:tcW w:w="1296" w:type="dxa"/>
            <w:tcBorders>
              <w:top w:val="single" w:sz="12" w:space="0" w:color="000000"/>
              <w:bottom w:val="double" w:sz="6" w:space="0" w:color="000000"/>
            </w:tcBorders>
          </w:tcPr>
          <w:p>
            <w:pPr>
              <w:pStyle w:val="TableParagraph"/>
              <w:spacing w:line="183" w:lineRule="exact"/>
              <w:ind w:right="67"/>
              <w:jc w:val="right"/>
              <w:rPr>
                <w:sz w:val="16"/>
              </w:rPr>
            </w:pPr>
            <w:r>
              <w:rPr>
                <w:spacing w:val="-2"/>
                <w:sz w:val="16"/>
              </w:rPr>
              <w:t>-3.164,16</w:t>
            </w:r>
          </w:p>
        </w:tc>
        <w:tc>
          <w:tcPr>
            <w:tcW w:w="187" w:type="dxa"/>
          </w:tcPr>
          <w:p>
            <w:pPr>
              <w:pStyle w:val="TableParagraph"/>
              <w:rPr>
                <w:sz w:val="16"/>
              </w:rPr>
            </w:pPr>
          </w:p>
        </w:tc>
        <w:tc>
          <w:tcPr>
            <w:tcW w:w="1296" w:type="dxa"/>
            <w:tcBorders>
              <w:top w:val="single" w:sz="12" w:space="0" w:color="000000"/>
              <w:bottom w:val="double" w:sz="6" w:space="0" w:color="000000"/>
            </w:tcBorders>
          </w:tcPr>
          <w:p>
            <w:pPr>
              <w:pStyle w:val="TableParagraph"/>
              <w:spacing w:line="183" w:lineRule="exact"/>
              <w:ind w:right="66"/>
              <w:jc w:val="right"/>
              <w:rPr>
                <w:sz w:val="16"/>
              </w:rPr>
            </w:pPr>
            <w:r>
              <w:rPr>
                <w:spacing w:val="-2"/>
                <w:sz w:val="16"/>
              </w:rPr>
              <w:t>-14.483,59</w:t>
            </w:r>
          </w:p>
        </w:tc>
      </w:tr>
      <w:tr>
        <w:trPr>
          <w:trHeight w:val="226" w:hRule="atLeast"/>
        </w:trPr>
        <w:tc>
          <w:tcPr>
            <w:tcW w:w="2635" w:type="dxa"/>
          </w:tcPr>
          <w:p>
            <w:pPr>
              <w:pStyle w:val="TableParagraph"/>
              <w:spacing w:line="184" w:lineRule="exact"/>
              <w:ind w:left="50"/>
              <w:rPr>
                <w:sz w:val="16"/>
              </w:rPr>
            </w:pPr>
            <w:r>
              <w:rPr>
                <w:sz w:val="16"/>
              </w:rPr>
              <w:t>Valor</w:t>
            </w:r>
            <w:r>
              <w:rPr>
                <w:spacing w:val="-5"/>
                <w:sz w:val="16"/>
              </w:rPr>
              <w:t> </w:t>
            </w:r>
            <w:r>
              <w:rPr>
                <w:sz w:val="16"/>
              </w:rPr>
              <w:t>Neto</w:t>
            </w:r>
            <w:r>
              <w:rPr>
                <w:spacing w:val="-3"/>
                <w:sz w:val="16"/>
              </w:rPr>
              <w:t> </w:t>
            </w:r>
            <w:r>
              <w:rPr>
                <w:sz w:val="16"/>
              </w:rPr>
              <w:t>Contable</w:t>
            </w:r>
            <w:r>
              <w:rPr>
                <w:spacing w:val="-4"/>
                <w:sz w:val="16"/>
              </w:rPr>
              <w:t> </w:t>
            </w:r>
            <w:r>
              <w:rPr>
                <w:sz w:val="16"/>
              </w:rPr>
              <w:t>al</w:t>
            </w:r>
            <w:r>
              <w:rPr>
                <w:spacing w:val="-4"/>
                <w:sz w:val="16"/>
              </w:rPr>
              <w:t> </w:t>
            </w:r>
            <w:r>
              <w:rPr>
                <w:spacing w:val="-2"/>
                <w:sz w:val="16"/>
              </w:rPr>
              <w:t>31.12.24</w:t>
            </w:r>
          </w:p>
        </w:tc>
        <w:tc>
          <w:tcPr>
            <w:tcW w:w="1483" w:type="dxa"/>
          </w:tcPr>
          <w:p>
            <w:pPr>
              <w:pStyle w:val="TableParagraph"/>
              <w:spacing w:line="184" w:lineRule="exact"/>
              <w:ind w:right="254"/>
              <w:jc w:val="right"/>
              <w:rPr>
                <w:sz w:val="16"/>
              </w:rPr>
            </w:pPr>
            <w:r>
              <w:rPr>
                <w:sz w:val="16"/>
              </w:rPr>
              <mc:AlternateContent>
                <mc:Choice Requires="wps">
                  <w:drawing>
                    <wp:anchor distT="0" distB="0" distL="0" distR="0" allowOverlap="1" layoutInCell="1" locked="0" behindDoc="1" simplePos="0" relativeHeight="484082176">
                      <wp:simplePos x="0" y="0"/>
                      <wp:positionH relativeFrom="column">
                        <wp:posOffset>4572</wp:posOffset>
                      </wp:positionH>
                      <wp:positionV relativeFrom="paragraph">
                        <wp:posOffset>144208</wp:posOffset>
                      </wp:positionV>
                      <wp:extent cx="818515" cy="2794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818515" cy="27940"/>
                                <a:chExt cx="818515" cy="27940"/>
                              </a:xfrm>
                            </wpg:grpSpPr>
                            <wps:wsp>
                              <wps:cNvPr id="31" name="Graphic 31"/>
                              <wps:cNvSpPr/>
                              <wps:spPr>
                                <a:xfrm>
                                  <a:off x="0" y="12"/>
                                  <a:ext cx="818515" cy="27940"/>
                                </a:xfrm>
                                <a:custGeom>
                                  <a:avLst/>
                                  <a:gdLst/>
                                  <a:ahLst/>
                                  <a:cxnLst/>
                                  <a:rect l="l" t="t" r="r" b="b"/>
                                  <a:pathLst>
                                    <a:path w="818515" h="27940">
                                      <a:moveTo>
                                        <a:pt x="818388" y="18288"/>
                                      </a:moveTo>
                                      <a:lnTo>
                                        <a:pt x="0" y="18288"/>
                                      </a:lnTo>
                                      <a:lnTo>
                                        <a:pt x="0" y="27419"/>
                                      </a:lnTo>
                                      <a:lnTo>
                                        <a:pt x="818388" y="27419"/>
                                      </a:lnTo>
                                      <a:lnTo>
                                        <a:pt x="818388" y="18288"/>
                                      </a:lnTo>
                                      <a:close/>
                                    </a:path>
                                    <a:path w="818515" h="27940">
                                      <a:moveTo>
                                        <a:pt x="818388" y="0"/>
                                      </a:moveTo>
                                      <a:lnTo>
                                        <a:pt x="0" y="0"/>
                                      </a:lnTo>
                                      <a:lnTo>
                                        <a:pt x="0" y="9131"/>
                                      </a:lnTo>
                                      <a:lnTo>
                                        <a:pt x="818388" y="9131"/>
                                      </a:lnTo>
                                      <a:lnTo>
                                        <a:pt x="818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11.355015pt;width:64.45pt;height:2.2pt;mso-position-horizontal-relative:column;mso-position-vertical-relative:paragraph;z-index:-19234304" id="docshapegroup30" coordorigin="7,227" coordsize="1289,44">
                      <v:shape style="position:absolute;left:7;top:227;width:1289;height:44" id="docshape31" coordorigin="7,227" coordsize="1289,44" path="m1296,256l7,256,7,270,1296,270,1296,256xm1296,227l7,227,7,241,1296,241,1296,227xe" filled="true" fillcolor="#000000" stroked="false">
                        <v:path arrowok="t"/>
                        <v:fill type="solid"/>
                      </v:shape>
                      <w10:wrap type="none"/>
                    </v:group>
                  </w:pict>
                </mc:Fallback>
              </mc:AlternateContent>
            </w:r>
            <w:r>
              <w:rPr>
                <w:spacing w:val="-2"/>
                <w:sz w:val="16"/>
              </w:rPr>
              <w:t>87,80</w:t>
            </w:r>
          </w:p>
        </w:tc>
        <w:tc>
          <w:tcPr>
            <w:tcW w:w="1296" w:type="dxa"/>
            <w:tcBorders>
              <w:top w:val="double" w:sz="6" w:space="0" w:color="000000"/>
              <w:bottom w:val="double" w:sz="6" w:space="0" w:color="000000"/>
            </w:tcBorders>
          </w:tcPr>
          <w:p>
            <w:pPr>
              <w:pStyle w:val="TableParagraph"/>
              <w:spacing w:line="184" w:lineRule="exact"/>
              <w:ind w:right="66"/>
              <w:jc w:val="right"/>
              <w:rPr>
                <w:sz w:val="16"/>
              </w:rPr>
            </w:pPr>
            <w:r>
              <w:rPr>
                <w:spacing w:val="-10"/>
                <w:sz w:val="16"/>
              </w:rPr>
              <w:t>-</w:t>
            </w:r>
          </w:p>
        </w:tc>
        <w:tc>
          <w:tcPr>
            <w:tcW w:w="187" w:type="dxa"/>
          </w:tcPr>
          <w:p>
            <w:pPr>
              <w:pStyle w:val="TableParagraph"/>
              <w:rPr>
                <w:sz w:val="16"/>
              </w:rPr>
            </w:pPr>
          </w:p>
        </w:tc>
        <w:tc>
          <w:tcPr>
            <w:tcW w:w="1296" w:type="dxa"/>
            <w:tcBorders>
              <w:top w:val="double" w:sz="6" w:space="0" w:color="000000"/>
              <w:bottom w:val="double" w:sz="6" w:space="0" w:color="000000"/>
            </w:tcBorders>
          </w:tcPr>
          <w:p>
            <w:pPr>
              <w:pStyle w:val="TableParagraph"/>
              <w:spacing w:line="184" w:lineRule="exact"/>
              <w:ind w:right="66"/>
              <w:jc w:val="right"/>
              <w:rPr>
                <w:sz w:val="16"/>
              </w:rPr>
            </w:pPr>
            <w:r>
              <w:rPr>
                <w:spacing w:val="-2"/>
                <w:sz w:val="16"/>
              </w:rPr>
              <w:t>87,80</w:t>
            </w:r>
          </w:p>
        </w:tc>
      </w:tr>
      <w:tr>
        <w:trPr>
          <w:trHeight w:val="229" w:hRule="atLeast"/>
        </w:trPr>
        <w:tc>
          <w:tcPr>
            <w:tcW w:w="2635" w:type="dxa"/>
          </w:tcPr>
          <w:p>
            <w:pPr>
              <w:pStyle w:val="TableParagraph"/>
              <w:spacing w:before="1"/>
              <w:ind w:left="50"/>
              <w:rPr>
                <w:sz w:val="16"/>
              </w:rPr>
            </w:pPr>
            <w:r>
              <w:rPr>
                <w:sz w:val="16"/>
              </w:rPr>
              <w:t>Valor</w:t>
            </w:r>
            <w:r>
              <w:rPr>
                <w:spacing w:val="-5"/>
                <w:sz w:val="16"/>
              </w:rPr>
              <w:t> </w:t>
            </w:r>
            <w:r>
              <w:rPr>
                <w:sz w:val="16"/>
              </w:rPr>
              <w:t>Neto</w:t>
            </w:r>
            <w:r>
              <w:rPr>
                <w:spacing w:val="-3"/>
                <w:sz w:val="16"/>
              </w:rPr>
              <w:t> </w:t>
            </w:r>
            <w:r>
              <w:rPr>
                <w:sz w:val="16"/>
              </w:rPr>
              <w:t>Contable</w:t>
            </w:r>
            <w:r>
              <w:rPr>
                <w:spacing w:val="-4"/>
                <w:sz w:val="16"/>
              </w:rPr>
              <w:t> </w:t>
            </w:r>
            <w:r>
              <w:rPr>
                <w:sz w:val="16"/>
              </w:rPr>
              <w:t>al</w:t>
            </w:r>
            <w:r>
              <w:rPr>
                <w:spacing w:val="-4"/>
                <w:sz w:val="16"/>
              </w:rPr>
              <w:t> </w:t>
            </w:r>
            <w:r>
              <w:rPr>
                <w:spacing w:val="-2"/>
                <w:sz w:val="16"/>
              </w:rPr>
              <w:t>31.12.25</w:t>
            </w:r>
          </w:p>
        </w:tc>
        <w:tc>
          <w:tcPr>
            <w:tcW w:w="1483" w:type="dxa"/>
          </w:tcPr>
          <w:p>
            <w:pPr>
              <w:pStyle w:val="TableParagraph"/>
              <w:spacing w:before="1"/>
              <w:ind w:right="254"/>
              <w:jc w:val="right"/>
              <w:rPr>
                <w:sz w:val="16"/>
              </w:rPr>
            </w:pPr>
            <w:r>
              <w:rPr>
                <w:sz w:val="16"/>
              </w:rPr>
              <mc:AlternateContent>
                <mc:Choice Requires="wps">
                  <w:drawing>
                    <wp:anchor distT="0" distB="0" distL="0" distR="0" allowOverlap="1" layoutInCell="1" locked="0" behindDoc="0" simplePos="0" relativeHeight="15735296">
                      <wp:simplePos x="0" y="0"/>
                      <wp:positionH relativeFrom="column">
                        <wp:posOffset>-4572</wp:posOffset>
                      </wp:positionH>
                      <wp:positionV relativeFrom="paragraph">
                        <wp:posOffset>146542</wp:posOffset>
                      </wp:positionV>
                      <wp:extent cx="828040" cy="2794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828040" cy="27940"/>
                                <a:chExt cx="828040" cy="27940"/>
                              </a:xfrm>
                            </wpg:grpSpPr>
                            <wps:wsp>
                              <wps:cNvPr id="33" name="Graphic 33"/>
                              <wps:cNvSpPr/>
                              <wps:spPr>
                                <a:xfrm>
                                  <a:off x="0" y="12"/>
                                  <a:ext cx="828040" cy="27940"/>
                                </a:xfrm>
                                <a:custGeom>
                                  <a:avLst/>
                                  <a:gdLst/>
                                  <a:ahLst/>
                                  <a:cxnLst/>
                                  <a:rect l="l" t="t" r="r" b="b"/>
                                  <a:pathLst>
                                    <a:path w="828040" h="27940">
                                      <a:moveTo>
                                        <a:pt x="827519" y="18288"/>
                                      </a:moveTo>
                                      <a:lnTo>
                                        <a:pt x="0" y="18288"/>
                                      </a:lnTo>
                                      <a:lnTo>
                                        <a:pt x="0" y="27419"/>
                                      </a:lnTo>
                                      <a:lnTo>
                                        <a:pt x="827519" y="27419"/>
                                      </a:lnTo>
                                      <a:lnTo>
                                        <a:pt x="827519" y="18288"/>
                                      </a:lnTo>
                                      <a:close/>
                                    </a:path>
                                    <a:path w="828040" h="27940">
                                      <a:moveTo>
                                        <a:pt x="827519" y="0"/>
                                      </a:moveTo>
                                      <a:lnTo>
                                        <a:pt x="0" y="0"/>
                                      </a:lnTo>
                                      <a:lnTo>
                                        <a:pt x="0" y="9131"/>
                                      </a:lnTo>
                                      <a:lnTo>
                                        <a:pt x="827519" y="9131"/>
                                      </a:lnTo>
                                      <a:lnTo>
                                        <a:pt x="82751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11.538779pt;width:65.2pt;height:2.2pt;mso-position-horizontal-relative:column;mso-position-vertical-relative:paragraph;z-index:15735296" id="docshapegroup32" coordorigin="-7,231" coordsize="1304,44">
                      <v:shape style="position:absolute;left:-8;top:230;width:1304;height:44" id="docshape33" coordorigin="-7,231" coordsize="1304,44" path="m1296,260l-7,260,-7,274,1296,274,1296,260xm1296,231l-7,231,-7,245,1296,245,1296,231xe" filled="true" fillcolor="#000000" stroked="false">
                        <v:path arrowok="t"/>
                        <v:fill type="solid"/>
                      </v:shape>
                      <w10:wrap type="none"/>
                    </v:group>
                  </w:pict>
                </mc:Fallback>
              </mc:AlternateContent>
            </w:r>
            <w:r>
              <w:rPr>
                <w:spacing w:val="-2"/>
                <w:sz w:val="16"/>
              </w:rPr>
              <w:t>67,14</w:t>
            </w:r>
          </w:p>
        </w:tc>
        <w:tc>
          <w:tcPr>
            <w:tcW w:w="1296" w:type="dxa"/>
            <w:tcBorders>
              <w:top w:val="double" w:sz="6" w:space="0" w:color="000000"/>
              <w:bottom w:val="double" w:sz="6" w:space="0" w:color="000000"/>
            </w:tcBorders>
          </w:tcPr>
          <w:p>
            <w:pPr>
              <w:pStyle w:val="TableParagraph"/>
              <w:spacing w:before="1"/>
              <w:ind w:right="66"/>
              <w:jc w:val="right"/>
              <w:rPr>
                <w:sz w:val="16"/>
              </w:rPr>
            </w:pPr>
            <w:r>
              <w:rPr>
                <w:spacing w:val="-10"/>
                <w:sz w:val="16"/>
              </w:rPr>
              <w:t>-</w:t>
            </w:r>
          </w:p>
        </w:tc>
        <w:tc>
          <w:tcPr>
            <w:tcW w:w="187" w:type="dxa"/>
          </w:tcPr>
          <w:p>
            <w:pPr>
              <w:pStyle w:val="TableParagraph"/>
              <w:rPr>
                <w:sz w:val="16"/>
              </w:rPr>
            </w:pPr>
          </w:p>
        </w:tc>
        <w:tc>
          <w:tcPr>
            <w:tcW w:w="1296" w:type="dxa"/>
            <w:tcBorders>
              <w:top w:val="double" w:sz="6" w:space="0" w:color="000000"/>
              <w:bottom w:val="double" w:sz="6" w:space="0" w:color="000000"/>
            </w:tcBorders>
          </w:tcPr>
          <w:p>
            <w:pPr>
              <w:pStyle w:val="TableParagraph"/>
              <w:spacing w:before="1"/>
              <w:ind w:right="66"/>
              <w:jc w:val="right"/>
              <w:rPr>
                <w:sz w:val="16"/>
              </w:rPr>
            </w:pPr>
            <w:r>
              <w:rPr>
                <w:spacing w:val="-2"/>
                <w:sz w:val="16"/>
              </w:rPr>
              <w:t>67,14</w:t>
            </w:r>
          </w:p>
        </w:tc>
      </w:tr>
    </w:tbl>
    <w:p>
      <w:pPr>
        <w:pStyle w:val="BodyText"/>
        <w:spacing w:before="10"/>
      </w:pPr>
    </w:p>
    <w:p>
      <w:pPr>
        <w:pStyle w:val="BodyText"/>
        <w:ind w:left="570"/>
      </w:pPr>
      <w:r>
        <w:rPr>
          <w:spacing w:val="-2"/>
        </w:rPr>
        <w:t>El</w:t>
      </w:r>
      <w:r>
        <w:rPr>
          <w:spacing w:val="-12"/>
        </w:rPr>
        <w:t> </w:t>
      </w:r>
      <w:r>
        <w:rPr>
          <w:spacing w:val="-2"/>
        </w:rPr>
        <w:t>valor</w:t>
      </w:r>
      <w:r>
        <w:rPr>
          <w:spacing w:val="-11"/>
        </w:rPr>
        <w:t> </w:t>
      </w:r>
      <w:r>
        <w:rPr>
          <w:spacing w:val="-2"/>
        </w:rPr>
        <w:t>bruto</w:t>
      </w:r>
      <w:r>
        <w:rPr>
          <w:spacing w:val="-11"/>
        </w:rPr>
        <w:t> </w:t>
      </w:r>
      <w:r>
        <w:rPr>
          <w:spacing w:val="-2"/>
        </w:rPr>
        <w:t>de</w:t>
      </w:r>
      <w:r>
        <w:rPr>
          <w:spacing w:val="-11"/>
        </w:rPr>
        <w:t> </w:t>
      </w:r>
      <w:r>
        <w:rPr>
          <w:spacing w:val="-2"/>
        </w:rPr>
        <w:t>los</w:t>
      </w:r>
      <w:r>
        <w:rPr>
          <w:spacing w:val="-12"/>
        </w:rPr>
        <w:t> </w:t>
      </w:r>
      <w:r>
        <w:rPr>
          <w:spacing w:val="-2"/>
        </w:rPr>
        <w:t>elementos</w:t>
      </w:r>
      <w:r>
        <w:rPr>
          <w:spacing w:val="-11"/>
        </w:rPr>
        <w:t> </w:t>
      </w:r>
      <w:r>
        <w:rPr>
          <w:spacing w:val="-2"/>
        </w:rPr>
        <w:t>en</w:t>
      </w:r>
      <w:r>
        <w:rPr>
          <w:spacing w:val="-12"/>
        </w:rPr>
        <w:t> </w:t>
      </w:r>
      <w:r>
        <w:rPr>
          <w:spacing w:val="-2"/>
        </w:rPr>
        <w:t>uso</w:t>
      </w:r>
      <w:r>
        <w:rPr>
          <w:spacing w:val="-10"/>
        </w:rPr>
        <w:t> </w:t>
      </w:r>
      <w:r>
        <w:rPr>
          <w:spacing w:val="-2"/>
        </w:rPr>
        <w:t>que</w:t>
      </w:r>
      <w:r>
        <w:rPr>
          <w:spacing w:val="-11"/>
        </w:rPr>
        <w:t> </w:t>
      </w:r>
      <w:r>
        <w:rPr>
          <w:spacing w:val="-2"/>
        </w:rPr>
        <w:t>se</w:t>
      </w:r>
      <w:r>
        <w:rPr>
          <w:spacing w:val="-11"/>
        </w:rPr>
        <w:t> </w:t>
      </w:r>
      <w:r>
        <w:rPr>
          <w:spacing w:val="-2"/>
        </w:rPr>
        <w:t>encuentran</w:t>
      </w:r>
      <w:r>
        <w:rPr>
          <w:spacing w:val="-11"/>
        </w:rPr>
        <w:t> </w:t>
      </w:r>
      <w:r>
        <w:rPr>
          <w:spacing w:val="-2"/>
        </w:rPr>
        <w:t>totalmente</w:t>
      </w:r>
      <w:r>
        <w:rPr>
          <w:spacing w:val="-11"/>
        </w:rPr>
        <w:t> </w:t>
      </w:r>
      <w:r>
        <w:rPr>
          <w:spacing w:val="-2"/>
        </w:rPr>
        <w:t>amortizados</w:t>
      </w:r>
      <w:r>
        <w:rPr>
          <w:spacing w:val="-12"/>
        </w:rPr>
        <w:t> </w:t>
      </w:r>
      <w:r>
        <w:rPr>
          <w:spacing w:val="-2"/>
        </w:rPr>
        <w:t>es</w:t>
      </w:r>
      <w:r>
        <w:rPr>
          <w:spacing w:val="-10"/>
        </w:rPr>
        <w:t> </w:t>
      </w:r>
      <w:r>
        <w:rPr>
          <w:spacing w:val="-2"/>
        </w:rPr>
        <w:t>el</w:t>
      </w:r>
      <w:r>
        <w:rPr>
          <w:spacing w:val="-9"/>
        </w:rPr>
        <w:t> </w:t>
      </w:r>
      <w:r>
        <w:rPr>
          <w:spacing w:val="-2"/>
        </w:rPr>
        <w:t>siguiente:</w:t>
      </w:r>
    </w:p>
    <w:p>
      <w:pPr>
        <w:pStyle w:val="BodyText"/>
        <w:spacing w:before="23"/>
        <w:rPr>
          <w:sz w:val="20"/>
        </w:rPr>
      </w:pPr>
    </w:p>
    <w:tbl>
      <w:tblPr>
        <w:tblW w:w="0" w:type="auto"/>
        <w:jc w:val="left"/>
        <w:tblInd w:w="1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02"/>
        <w:gridCol w:w="187"/>
        <w:gridCol w:w="1296"/>
        <w:gridCol w:w="187"/>
        <w:gridCol w:w="1605"/>
      </w:tblGrid>
      <w:tr>
        <w:trPr>
          <w:trHeight w:val="220" w:hRule="atLeast"/>
        </w:trPr>
        <w:tc>
          <w:tcPr>
            <w:tcW w:w="2902" w:type="dxa"/>
            <w:tcBorders>
              <w:bottom w:val="single" w:sz="12" w:space="0" w:color="000000"/>
            </w:tcBorders>
          </w:tcPr>
          <w:p>
            <w:pPr>
              <w:pStyle w:val="TableParagraph"/>
              <w:spacing w:line="177" w:lineRule="exact"/>
              <w:ind w:left="70"/>
              <w:rPr>
                <w:b/>
                <w:sz w:val="16"/>
              </w:rPr>
            </w:pPr>
            <w:r>
              <w:rPr>
                <w:b/>
                <w:spacing w:val="-2"/>
                <w:sz w:val="16"/>
              </w:rPr>
              <w:t>Cuenta</w:t>
            </w:r>
          </w:p>
        </w:tc>
        <w:tc>
          <w:tcPr>
            <w:tcW w:w="187" w:type="dxa"/>
          </w:tcPr>
          <w:p>
            <w:pPr>
              <w:pStyle w:val="TableParagraph"/>
              <w:rPr>
                <w:sz w:val="14"/>
              </w:rPr>
            </w:pPr>
          </w:p>
        </w:tc>
        <w:tc>
          <w:tcPr>
            <w:tcW w:w="1296" w:type="dxa"/>
            <w:tcBorders>
              <w:bottom w:val="single" w:sz="12" w:space="0" w:color="000000"/>
            </w:tcBorders>
          </w:tcPr>
          <w:p>
            <w:pPr>
              <w:pStyle w:val="TableParagraph"/>
              <w:spacing w:line="177" w:lineRule="exact"/>
              <w:ind w:right="69"/>
              <w:jc w:val="right"/>
              <w:rPr>
                <w:b/>
                <w:sz w:val="16"/>
              </w:rPr>
            </w:pPr>
            <w:r>
              <w:rPr>
                <w:b/>
                <w:sz w:val="16"/>
              </w:rPr>
              <w:t>Saldo</w:t>
            </w:r>
            <w:r>
              <w:rPr>
                <w:b/>
                <w:spacing w:val="-3"/>
                <w:sz w:val="16"/>
              </w:rPr>
              <w:t> </w:t>
            </w:r>
            <w:r>
              <w:rPr>
                <w:b/>
                <w:sz w:val="16"/>
              </w:rPr>
              <w:t>al</w:t>
            </w:r>
            <w:r>
              <w:rPr>
                <w:b/>
                <w:spacing w:val="-4"/>
                <w:sz w:val="16"/>
              </w:rPr>
              <w:t> </w:t>
            </w:r>
            <w:r>
              <w:rPr>
                <w:b/>
                <w:spacing w:val="-2"/>
                <w:sz w:val="16"/>
              </w:rPr>
              <w:t>31.12.25</w:t>
            </w:r>
          </w:p>
        </w:tc>
        <w:tc>
          <w:tcPr>
            <w:tcW w:w="187" w:type="dxa"/>
          </w:tcPr>
          <w:p>
            <w:pPr>
              <w:pStyle w:val="TableParagraph"/>
              <w:rPr>
                <w:sz w:val="14"/>
              </w:rPr>
            </w:pPr>
          </w:p>
        </w:tc>
        <w:tc>
          <w:tcPr>
            <w:tcW w:w="1605" w:type="dxa"/>
            <w:tcBorders>
              <w:bottom w:val="single" w:sz="12" w:space="0" w:color="000000"/>
            </w:tcBorders>
          </w:tcPr>
          <w:p>
            <w:pPr>
              <w:pStyle w:val="TableParagraph"/>
              <w:spacing w:line="177" w:lineRule="exact"/>
              <w:ind w:left="78"/>
              <w:rPr>
                <w:b/>
                <w:sz w:val="16"/>
              </w:rPr>
            </w:pPr>
            <w:r>
              <w:rPr>
                <w:b/>
                <w:sz w:val="16"/>
              </w:rPr>
              <w:t>Saldo</w:t>
            </w:r>
            <w:r>
              <w:rPr>
                <w:b/>
                <w:spacing w:val="-3"/>
                <w:sz w:val="16"/>
              </w:rPr>
              <w:t> </w:t>
            </w:r>
            <w:r>
              <w:rPr>
                <w:b/>
                <w:sz w:val="16"/>
              </w:rPr>
              <w:t>al</w:t>
            </w:r>
            <w:r>
              <w:rPr>
                <w:b/>
                <w:spacing w:val="-4"/>
                <w:sz w:val="16"/>
              </w:rPr>
              <w:t> </w:t>
            </w:r>
            <w:r>
              <w:rPr>
                <w:b/>
                <w:spacing w:val="-2"/>
                <w:sz w:val="16"/>
              </w:rPr>
              <w:t>31.12.24</w:t>
            </w:r>
          </w:p>
        </w:tc>
      </w:tr>
      <w:tr>
        <w:trPr>
          <w:trHeight w:val="208" w:hRule="atLeast"/>
        </w:trPr>
        <w:tc>
          <w:tcPr>
            <w:tcW w:w="2902" w:type="dxa"/>
            <w:tcBorders>
              <w:top w:val="single" w:sz="12" w:space="0" w:color="000000"/>
            </w:tcBorders>
          </w:tcPr>
          <w:p>
            <w:pPr>
              <w:pStyle w:val="TableParagraph"/>
              <w:spacing w:line="183" w:lineRule="exact"/>
              <w:ind w:left="70"/>
              <w:rPr>
                <w:sz w:val="16"/>
              </w:rPr>
            </w:pPr>
            <w:r>
              <w:rPr>
                <w:sz w:val="16"/>
              </w:rPr>
              <w:t>Propiedad</w:t>
            </w:r>
            <w:r>
              <w:rPr>
                <w:spacing w:val="-7"/>
                <w:sz w:val="16"/>
              </w:rPr>
              <w:t> </w:t>
            </w:r>
            <w:r>
              <w:rPr>
                <w:spacing w:val="-2"/>
                <w:sz w:val="16"/>
              </w:rPr>
              <w:t>industrial</w:t>
            </w:r>
          </w:p>
        </w:tc>
        <w:tc>
          <w:tcPr>
            <w:tcW w:w="187" w:type="dxa"/>
          </w:tcPr>
          <w:p>
            <w:pPr>
              <w:pStyle w:val="TableParagraph"/>
              <w:rPr>
                <w:sz w:val="14"/>
              </w:rPr>
            </w:pPr>
          </w:p>
        </w:tc>
        <w:tc>
          <w:tcPr>
            <w:tcW w:w="1296" w:type="dxa"/>
            <w:tcBorders>
              <w:top w:val="single" w:sz="12" w:space="0" w:color="000000"/>
            </w:tcBorders>
          </w:tcPr>
          <w:p>
            <w:pPr>
              <w:pStyle w:val="TableParagraph"/>
              <w:spacing w:line="183" w:lineRule="exact"/>
              <w:ind w:right="66"/>
              <w:jc w:val="right"/>
              <w:rPr>
                <w:sz w:val="16"/>
              </w:rPr>
            </w:pPr>
            <w:r>
              <w:rPr>
                <w:spacing w:val="-2"/>
                <w:sz w:val="16"/>
              </w:rPr>
              <w:t>11.180,00</w:t>
            </w:r>
          </w:p>
        </w:tc>
        <w:tc>
          <w:tcPr>
            <w:tcW w:w="187" w:type="dxa"/>
          </w:tcPr>
          <w:p>
            <w:pPr>
              <w:pStyle w:val="TableParagraph"/>
              <w:rPr>
                <w:sz w:val="14"/>
              </w:rPr>
            </w:pPr>
          </w:p>
        </w:tc>
        <w:tc>
          <w:tcPr>
            <w:tcW w:w="1605" w:type="dxa"/>
            <w:tcBorders>
              <w:top w:val="single" w:sz="12" w:space="0" w:color="000000"/>
            </w:tcBorders>
          </w:tcPr>
          <w:p>
            <w:pPr>
              <w:pStyle w:val="TableParagraph"/>
              <w:spacing w:line="183" w:lineRule="exact"/>
              <w:ind w:right="64"/>
              <w:jc w:val="right"/>
              <w:rPr>
                <w:sz w:val="16"/>
              </w:rPr>
            </w:pPr>
            <w:r>
              <w:rPr>
                <w:spacing w:val="-2"/>
                <w:sz w:val="16"/>
              </w:rPr>
              <w:t>11.180,00</w:t>
            </w:r>
          </w:p>
        </w:tc>
      </w:tr>
      <w:tr>
        <w:trPr>
          <w:trHeight w:val="245" w:hRule="atLeast"/>
        </w:trPr>
        <w:tc>
          <w:tcPr>
            <w:tcW w:w="2902" w:type="dxa"/>
          </w:tcPr>
          <w:p>
            <w:pPr>
              <w:pStyle w:val="TableParagraph"/>
              <w:spacing w:before="18"/>
              <w:ind w:left="70"/>
              <w:rPr>
                <w:sz w:val="16"/>
              </w:rPr>
            </w:pPr>
            <w:r>
              <w:rPr>
                <w:spacing w:val="-2"/>
                <w:sz w:val="16"/>
              </w:rPr>
              <w:t>Aplicaciones</w:t>
            </w:r>
            <w:r>
              <w:rPr>
                <w:spacing w:val="13"/>
                <w:sz w:val="16"/>
              </w:rPr>
              <w:t> </w:t>
            </w:r>
            <w:r>
              <w:rPr>
                <w:spacing w:val="-2"/>
                <w:sz w:val="16"/>
              </w:rPr>
              <w:t>informáticas</w:t>
            </w:r>
          </w:p>
        </w:tc>
        <w:tc>
          <w:tcPr>
            <w:tcW w:w="187" w:type="dxa"/>
          </w:tcPr>
          <w:p>
            <w:pPr>
              <w:pStyle w:val="TableParagraph"/>
              <w:rPr>
                <w:sz w:val="16"/>
              </w:rPr>
            </w:pPr>
          </w:p>
        </w:tc>
        <w:tc>
          <w:tcPr>
            <w:tcW w:w="1296" w:type="dxa"/>
            <w:tcBorders>
              <w:bottom w:val="single" w:sz="12" w:space="0" w:color="000000"/>
            </w:tcBorders>
          </w:tcPr>
          <w:p>
            <w:pPr>
              <w:pStyle w:val="TableParagraph"/>
              <w:spacing w:before="18"/>
              <w:ind w:right="67"/>
              <w:jc w:val="right"/>
              <w:rPr>
                <w:sz w:val="16"/>
              </w:rPr>
            </w:pPr>
            <w:r>
              <w:rPr>
                <w:spacing w:val="-2"/>
                <w:sz w:val="16"/>
              </w:rPr>
              <w:t>3.164,00</w:t>
            </w:r>
          </w:p>
        </w:tc>
        <w:tc>
          <w:tcPr>
            <w:tcW w:w="187" w:type="dxa"/>
          </w:tcPr>
          <w:p>
            <w:pPr>
              <w:pStyle w:val="TableParagraph"/>
              <w:rPr>
                <w:sz w:val="16"/>
              </w:rPr>
            </w:pPr>
          </w:p>
        </w:tc>
        <w:tc>
          <w:tcPr>
            <w:tcW w:w="1605" w:type="dxa"/>
            <w:tcBorders>
              <w:bottom w:val="single" w:sz="12" w:space="0" w:color="000000"/>
            </w:tcBorders>
          </w:tcPr>
          <w:p>
            <w:pPr>
              <w:pStyle w:val="TableParagraph"/>
              <w:spacing w:before="18"/>
              <w:ind w:right="65"/>
              <w:jc w:val="right"/>
              <w:rPr>
                <w:sz w:val="16"/>
              </w:rPr>
            </w:pPr>
            <w:r>
              <w:rPr>
                <w:spacing w:val="-2"/>
                <w:sz w:val="16"/>
              </w:rPr>
              <w:t>3.164,00</w:t>
            </w:r>
          </w:p>
        </w:tc>
      </w:tr>
      <w:tr>
        <w:trPr>
          <w:trHeight w:val="228" w:hRule="atLeast"/>
        </w:trPr>
        <w:tc>
          <w:tcPr>
            <w:tcW w:w="2902" w:type="dxa"/>
          </w:tcPr>
          <w:p>
            <w:pPr>
              <w:pStyle w:val="TableParagraph"/>
              <w:spacing w:line="183" w:lineRule="exact"/>
              <w:ind w:left="70"/>
              <w:rPr>
                <w:b/>
                <w:sz w:val="16"/>
              </w:rPr>
            </w:pPr>
            <w:r>
              <w:rPr>
                <w:b/>
                <w:spacing w:val="-2"/>
                <w:sz w:val="16"/>
              </w:rPr>
              <w:t>Total:</w:t>
            </w:r>
          </w:p>
        </w:tc>
        <w:tc>
          <w:tcPr>
            <w:tcW w:w="187" w:type="dxa"/>
          </w:tcPr>
          <w:p>
            <w:pPr>
              <w:pStyle w:val="TableParagraph"/>
              <w:rPr>
                <w:sz w:val="16"/>
              </w:rPr>
            </w:pPr>
          </w:p>
        </w:tc>
        <w:tc>
          <w:tcPr>
            <w:tcW w:w="1296" w:type="dxa"/>
            <w:tcBorders>
              <w:top w:val="single" w:sz="12" w:space="0" w:color="000000"/>
              <w:bottom w:val="double" w:sz="6" w:space="0" w:color="000000"/>
            </w:tcBorders>
          </w:tcPr>
          <w:p>
            <w:pPr>
              <w:pStyle w:val="TableParagraph"/>
              <w:spacing w:line="183" w:lineRule="exact"/>
              <w:ind w:right="66"/>
              <w:jc w:val="right"/>
              <w:rPr>
                <w:b/>
                <w:sz w:val="16"/>
              </w:rPr>
            </w:pPr>
            <w:r>
              <w:rPr>
                <w:b/>
                <w:spacing w:val="-2"/>
                <w:sz w:val="16"/>
              </w:rPr>
              <w:t>14.344,00</w:t>
            </w:r>
          </w:p>
        </w:tc>
        <w:tc>
          <w:tcPr>
            <w:tcW w:w="187" w:type="dxa"/>
          </w:tcPr>
          <w:p>
            <w:pPr>
              <w:pStyle w:val="TableParagraph"/>
              <w:rPr>
                <w:sz w:val="16"/>
              </w:rPr>
            </w:pPr>
          </w:p>
        </w:tc>
        <w:tc>
          <w:tcPr>
            <w:tcW w:w="1605" w:type="dxa"/>
            <w:tcBorders>
              <w:top w:val="single" w:sz="12" w:space="0" w:color="000000"/>
              <w:bottom w:val="double" w:sz="6" w:space="0" w:color="000000"/>
            </w:tcBorders>
          </w:tcPr>
          <w:p>
            <w:pPr>
              <w:pStyle w:val="TableParagraph"/>
              <w:spacing w:line="183" w:lineRule="exact"/>
              <w:ind w:right="64"/>
              <w:jc w:val="right"/>
              <w:rPr>
                <w:b/>
                <w:sz w:val="16"/>
              </w:rPr>
            </w:pPr>
            <w:r>
              <w:rPr>
                <w:b/>
                <w:spacing w:val="-2"/>
                <w:sz w:val="16"/>
              </w:rPr>
              <w:t>14.344,00</w:t>
            </w:r>
          </w:p>
        </w:tc>
      </w:tr>
    </w:tbl>
    <w:p>
      <w:pPr>
        <w:pStyle w:val="TableParagraph"/>
        <w:spacing w:after="0" w:line="183" w:lineRule="exact"/>
        <w:jc w:val="right"/>
        <w:rPr>
          <w:b/>
          <w:sz w:val="16"/>
        </w:rPr>
        <w:sectPr>
          <w:pgSz w:w="11910" w:h="16840"/>
          <w:pgMar w:header="694" w:footer="690" w:top="1920" w:bottom="880" w:left="708" w:right="425"/>
        </w:sectPr>
      </w:pPr>
    </w:p>
    <w:p>
      <w:pPr>
        <w:pStyle w:val="Heading1"/>
        <w:numPr>
          <w:ilvl w:val="0"/>
          <w:numId w:val="1"/>
        </w:numPr>
        <w:tabs>
          <w:tab w:pos="708" w:val="left" w:leader="none"/>
        </w:tabs>
        <w:spacing w:line="240" w:lineRule="auto" w:before="186" w:after="0"/>
        <w:ind w:left="708" w:right="0" w:hanging="358"/>
        <w:jc w:val="left"/>
      </w:pPr>
      <w:r>
        <w:rPr/>
        <w:t>Inmovilizado</w:t>
      </w:r>
      <w:r>
        <w:rPr>
          <w:spacing w:val="-13"/>
        </w:rPr>
        <w:t> </w:t>
      </w:r>
      <w:r>
        <w:rPr>
          <w:spacing w:val="-2"/>
        </w:rPr>
        <w:t>material</w:t>
      </w:r>
    </w:p>
    <w:p>
      <w:pPr>
        <w:pStyle w:val="BodyText"/>
        <w:spacing w:before="12"/>
        <w:rPr>
          <w:b/>
        </w:rPr>
      </w:pPr>
    </w:p>
    <w:p>
      <w:pPr>
        <w:pStyle w:val="BodyText"/>
        <w:ind w:left="570" w:right="794"/>
      </w:pPr>
      <w:r>
        <w:rPr/>
        <w:t>Los saldos y variaciones durante los ejercicios 2025 y 2024 de los valores brutos y de la amortización acumulada son:</w:t>
      </w:r>
    </w:p>
    <w:p>
      <w:pPr>
        <w:pStyle w:val="BodyText"/>
        <w:spacing w:before="6"/>
        <w:rPr>
          <w:sz w:val="14"/>
        </w:rPr>
      </w:pPr>
    </w:p>
    <w:p>
      <w:pPr>
        <w:pStyle w:val="BodyText"/>
        <w:spacing w:after="0"/>
        <w:rPr>
          <w:sz w:val="14"/>
        </w:rPr>
        <w:sectPr>
          <w:pgSz w:w="11910" w:h="16840"/>
          <w:pgMar w:header="694" w:footer="690" w:top="1920" w:bottom="880" w:left="708" w:right="425"/>
        </w:sectPr>
      </w:pPr>
    </w:p>
    <w:p>
      <w:pPr>
        <w:pStyle w:val="BodyText"/>
        <w:spacing w:before="2"/>
        <w:rPr>
          <w:sz w:val="16"/>
        </w:rPr>
      </w:pPr>
    </w:p>
    <w:p>
      <w:pPr>
        <w:spacing w:before="0"/>
        <w:ind w:left="4057" w:right="0" w:firstLine="132"/>
        <w:jc w:val="left"/>
        <w:rPr>
          <w:b/>
          <w:sz w:val="16"/>
        </w:rPr>
      </w:pPr>
      <w:r>
        <w:rPr>
          <w:b/>
          <w:sz w:val="16"/>
        </w:rPr>
        <w:t>Terrenos</w:t>
      </w:r>
      <w:r>
        <w:rPr>
          <w:b/>
          <w:spacing w:val="-3"/>
          <w:sz w:val="16"/>
        </w:rPr>
        <w:t> </w:t>
      </w:r>
      <w:r>
        <w:rPr>
          <w:b/>
          <w:sz w:val="16"/>
        </w:rPr>
        <w:t>y</w:t>
      </w:r>
      <w:r>
        <w:rPr>
          <w:b/>
          <w:spacing w:val="40"/>
          <w:sz w:val="16"/>
        </w:rPr>
        <w:t> </w:t>
      </w:r>
      <w:r>
        <w:rPr>
          <w:b/>
          <w:spacing w:val="-2"/>
          <w:sz w:val="16"/>
        </w:rPr>
        <w:t>construcciones</w:t>
      </w:r>
    </w:p>
    <w:p>
      <w:pPr>
        <w:spacing w:before="93"/>
        <w:ind w:left="514" w:right="0" w:firstLine="1"/>
        <w:jc w:val="center"/>
        <w:rPr>
          <w:b/>
          <w:sz w:val="16"/>
        </w:rPr>
      </w:pPr>
      <w:r>
        <w:rPr/>
        <w:br w:type="column"/>
      </w:r>
      <w:r>
        <w:rPr>
          <w:b/>
          <w:spacing w:val="-2"/>
          <w:sz w:val="16"/>
        </w:rPr>
        <w:t>Otras</w:t>
      </w:r>
      <w:r>
        <w:rPr>
          <w:b/>
          <w:spacing w:val="40"/>
          <w:sz w:val="16"/>
        </w:rPr>
        <w:t> </w:t>
      </w:r>
      <w:r>
        <w:rPr>
          <w:b/>
          <w:spacing w:val="-2"/>
          <w:sz w:val="16"/>
        </w:rPr>
        <w:t>instalaciones</w:t>
      </w:r>
      <w:r>
        <w:rPr>
          <w:b/>
          <w:spacing w:val="-8"/>
          <w:sz w:val="16"/>
        </w:rPr>
        <w:t> </w:t>
      </w:r>
      <w:r>
        <w:rPr>
          <w:b/>
          <w:spacing w:val="-2"/>
          <w:sz w:val="16"/>
        </w:rPr>
        <w:t>y</w:t>
      </w:r>
      <w:r>
        <w:rPr>
          <w:b/>
          <w:spacing w:val="40"/>
          <w:sz w:val="16"/>
        </w:rPr>
        <w:t> </w:t>
      </w:r>
      <w:r>
        <w:rPr>
          <w:b/>
          <w:spacing w:val="-2"/>
          <w:sz w:val="16"/>
        </w:rPr>
        <w:t>mobiliario</w:t>
      </w:r>
    </w:p>
    <w:p>
      <w:pPr>
        <w:spacing w:before="93"/>
        <w:ind w:left="485" w:right="0" w:firstLine="0"/>
        <w:jc w:val="center"/>
        <w:rPr>
          <w:b/>
          <w:sz w:val="16"/>
        </w:rPr>
      </w:pPr>
      <w:r>
        <w:rPr/>
        <w:br w:type="column"/>
      </w:r>
      <w:r>
        <w:rPr>
          <w:b/>
          <w:spacing w:val="-2"/>
          <w:sz w:val="16"/>
        </w:rPr>
        <w:t>Equipos</w:t>
      </w:r>
      <w:r>
        <w:rPr>
          <w:b/>
          <w:spacing w:val="-8"/>
          <w:sz w:val="16"/>
        </w:rPr>
        <w:t> </w:t>
      </w:r>
      <w:r>
        <w:rPr>
          <w:b/>
          <w:spacing w:val="-2"/>
          <w:sz w:val="16"/>
        </w:rPr>
        <w:t>para</w:t>
      </w:r>
      <w:r>
        <w:rPr>
          <w:b/>
          <w:spacing w:val="40"/>
          <w:sz w:val="16"/>
        </w:rPr>
        <w:t> </w:t>
      </w:r>
      <w:r>
        <w:rPr>
          <w:b/>
          <w:sz w:val="16"/>
        </w:rPr>
        <w:t>procesos</w:t>
      </w:r>
      <w:r>
        <w:rPr>
          <w:b/>
          <w:spacing w:val="-3"/>
          <w:sz w:val="16"/>
        </w:rPr>
        <w:t> </w:t>
      </w:r>
      <w:r>
        <w:rPr>
          <w:b/>
          <w:sz w:val="16"/>
        </w:rPr>
        <w:t>de</w:t>
      </w:r>
      <w:r>
        <w:rPr>
          <w:b/>
          <w:spacing w:val="40"/>
          <w:sz w:val="16"/>
        </w:rPr>
        <w:t> </w:t>
      </w:r>
      <w:r>
        <w:rPr>
          <w:b/>
          <w:spacing w:val="-2"/>
          <w:sz w:val="16"/>
        </w:rPr>
        <w:t>información</w:t>
      </w:r>
    </w:p>
    <w:p>
      <w:pPr>
        <w:pStyle w:val="BodyText"/>
        <w:spacing w:before="93"/>
        <w:rPr>
          <w:b/>
          <w:sz w:val="16"/>
        </w:rPr>
      </w:pPr>
      <w:r>
        <w:rPr/>
        <w:br w:type="column"/>
      </w:r>
      <w:r>
        <w:rPr>
          <w:b/>
          <w:sz w:val="16"/>
        </w:rPr>
      </w:r>
    </w:p>
    <w:p>
      <w:pPr>
        <w:spacing w:before="0"/>
        <w:ind w:left="798" w:right="0" w:firstLine="0"/>
        <w:jc w:val="left"/>
        <w:rPr>
          <w:b/>
          <w:sz w:val="16"/>
        </w:rPr>
      </w:pPr>
      <w:r>
        <w:rPr>
          <w:b/>
          <w:spacing w:val="-2"/>
          <w:sz w:val="16"/>
        </w:rPr>
        <w:t>Total</w:t>
      </w:r>
    </w:p>
    <w:p>
      <w:pPr>
        <w:spacing w:after="0"/>
        <w:jc w:val="left"/>
        <w:rPr>
          <w:b/>
          <w:sz w:val="16"/>
        </w:rPr>
        <w:sectPr>
          <w:type w:val="continuous"/>
          <w:pgSz w:w="11910" w:h="16840"/>
          <w:pgMar w:header="694" w:footer="690" w:top="1920" w:bottom="280" w:left="708" w:right="425"/>
          <w:cols w:num="4" w:equalWidth="0">
            <w:col w:w="5060" w:space="40"/>
            <w:col w:w="1505" w:space="39"/>
            <w:col w:w="1405" w:space="40"/>
            <w:col w:w="2688"/>
          </w:cols>
        </w:sectPr>
      </w:pPr>
    </w:p>
    <w:tbl>
      <w:tblPr>
        <w:tblW w:w="0" w:type="auto"/>
        <w:jc w:val="left"/>
        <w:tblInd w:w="1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13"/>
        <w:gridCol w:w="1348"/>
        <w:gridCol w:w="272"/>
        <w:gridCol w:w="1207"/>
        <w:gridCol w:w="272"/>
        <w:gridCol w:w="1207"/>
        <w:gridCol w:w="273"/>
        <w:gridCol w:w="1207"/>
      </w:tblGrid>
      <w:tr>
        <w:trPr>
          <w:trHeight w:val="453" w:hRule="atLeast"/>
        </w:trPr>
        <w:tc>
          <w:tcPr>
            <w:tcW w:w="2613" w:type="dxa"/>
          </w:tcPr>
          <w:p>
            <w:pPr>
              <w:pStyle w:val="TableParagraph"/>
              <w:spacing w:before="20"/>
              <w:ind w:left="50"/>
              <w:rPr>
                <w:b/>
                <w:sz w:val="16"/>
              </w:rPr>
            </w:pPr>
            <w:r>
              <w:rPr>
                <w:b/>
                <w:sz w:val="16"/>
                <w:u w:val="single"/>
              </w:rPr>
              <w:t>Valores</w:t>
            </w:r>
            <w:r>
              <w:rPr>
                <w:b/>
                <w:spacing w:val="-9"/>
                <w:sz w:val="16"/>
                <w:u w:val="single"/>
              </w:rPr>
              <w:t> </w:t>
            </w:r>
            <w:r>
              <w:rPr>
                <w:b/>
                <w:spacing w:val="-2"/>
                <w:sz w:val="16"/>
                <w:u w:val="single"/>
              </w:rPr>
              <w:t>brutos</w:t>
            </w:r>
          </w:p>
          <w:p>
            <w:pPr>
              <w:pStyle w:val="TableParagraph"/>
              <w:spacing w:before="44"/>
              <w:ind w:left="50"/>
              <w:rPr>
                <w:sz w:val="16"/>
              </w:rPr>
            </w:pPr>
            <w:r>
              <w:rPr>
                <w:sz w:val="16"/>
              </w:rPr>
              <w:t>Saldo</w:t>
            </w:r>
            <w:r>
              <w:rPr>
                <w:spacing w:val="-3"/>
                <w:sz w:val="16"/>
              </w:rPr>
              <w:t> </w:t>
            </w:r>
            <w:r>
              <w:rPr>
                <w:sz w:val="16"/>
              </w:rPr>
              <w:t>al</w:t>
            </w:r>
            <w:r>
              <w:rPr>
                <w:spacing w:val="-3"/>
                <w:sz w:val="16"/>
              </w:rPr>
              <w:t> </w:t>
            </w:r>
            <w:r>
              <w:rPr>
                <w:spacing w:val="-2"/>
                <w:sz w:val="16"/>
              </w:rPr>
              <w:t>01.01.24</w:t>
            </w:r>
          </w:p>
        </w:tc>
        <w:tc>
          <w:tcPr>
            <w:tcW w:w="1348" w:type="dxa"/>
            <w:tcBorders>
              <w:top w:val="single" w:sz="8" w:space="0" w:color="000000"/>
              <w:bottom w:val="double" w:sz="6" w:space="0" w:color="000000"/>
            </w:tcBorders>
          </w:tcPr>
          <w:p>
            <w:pPr>
              <w:pStyle w:val="TableParagraph"/>
              <w:spacing w:before="64"/>
              <w:rPr>
                <w:b/>
                <w:sz w:val="16"/>
              </w:rPr>
            </w:pPr>
          </w:p>
          <w:p>
            <w:pPr>
              <w:pStyle w:val="TableParagraph"/>
              <w:ind w:right="68"/>
              <w:jc w:val="right"/>
              <w:rPr>
                <w:sz w:val="16"/>
              </w:rPr>
            </w:pPr>
            <w:r>
              <w:rPr>
                <w:spacing w:val="-2"/>
                <w:sz w:val="16"/>
              </w:rPr>
              <w:t>5.559,00</w:t>
            </w:r>
          </w:p>
        </w:tc>
        <w:tc>
          <w:tcPr>
            <w:tcW w:w="272" w:type="dxa"/>
          </w:tcPr>
          <w:p>
            <w:pPr>
              <w:pStyle w:val="TableParagraph"/>
              <w:rPr>
                <w:sz w:val="18"/>
              </w:rPr>
            </w:pPr>
          </w:p>
        </w:tc>
        <w:tc>
          <w:tcPr>
            <w:tcW w:w="1207" w:type="dxa"/>
            <w:tcBorders>
              <w:top w:val="single" w:sz="8" w:space="0" w:color="000000"/>
              <w:bottom w:val="double" w:sz="6" w:space="0" w:color="000000"/>
            </w:tcBorders>
          </w:tcPr>
          <w:p>
            <w:pPr>
              <w:pStyle w:val="TableParagraph"/>
              <w:spacing w:before="64"/>
              <w:rPr>
                <w:b/>
                <w:sz w:val="16"/>
              </w:rPr>
            </w:pPr>
          </w:p>
          <w:p>
            <w:pPr>
              <w:pStyle w:val="TableParagraph"/>
              <w:ind w:right="67"/>
              <w:jc w:val="right"/>
              <w:rPr>
                <w:sz w:val="16"/>
              </w:rPr>
            </w:pPr>
            <w:r>
              <w:rPr>
                <w:spacing w:val="-2"/>
                <w:sz w:val="16"/>
              </w:rPr>
              <w:t>29.506,47</w:t>
            </w:r>
          </w:p>
        </w:tc>
        <w:tc>
          <w:tcPr>
            <w:tcW w:w="272" w:type="dxa"/>
          </w:tcPr>
          <w:p>
            <w:pPr>
              <w:pStyle w:val="TableParagraph"/>
              <w:rPr>
                <w:sz w:val="18"/>
              </w:rPr>
            </w:pPr>
          </w:p>
        </w:tc>
        <w:tc>
          <w:tcPr>
            <w:tcW w:w="1207" w:type="dxa"/>
            <w:tcBorders>
              <w:top w:val="single" w:sz="8" w:space="0" w:color="000000"/>
              <w:bottom w:val="double" w:sz="6" w:space="0" w:color="000000"/>
            </w:tcBorders>
          </w:tcPr>
          <w:p>
            <w:pPr>
              <w:pStyle w:val="TableParagraph"/>
              <w:spacing w:before="64"/>
              <w:rPr>
                <w:b/>
                <w:sz w:val="16"/>
              </w:rPr>
            </w:pPr>
          </w:p>
          <w:p>
            <w:pPr>
              <w:pStyle w:val="TableParagraph"/>
              <w:ind w:right="67"/>
              <w:jc w:val="right"/>
              <w:rPr>
                <w:sz w:val="16"/>
              </w:rPr>
            </w:pPr>
            <w:r>
              <w:rPr>
                <w:spacing w:val="-2"/>
                <w:sz w:val="16"/>
              </w:rPr>
              <w:t>5.887,40</w:t>
            </w:r>
          </w:p>
        </w:tc>
        <w:tc>
          <w:tcPr>
            <w:tcW w:w="273" w:type="dxa"/>
          </w:tcPr>
          <w:p>
            <w:pPr>
              <w:pStyle w:val="TableParagraph"/>
              <w:rPr>
                <w:sz w:val="18"/>
              </w:rPr>
            </w:pPr>
          </w:p>
        </w:tc>
        <w:tc>
          <w:tcPr>
            <w:tcW w:w="1207" w:type="dxa"/>
            <w:tcBorders>
              <w:top w:val="single" w:sz="8" w:space="0" w:color="000000"/>
              <w:bottom w:val="double" w:sz="6" w:space="0" w:color="000000"/>
            </w:tcBorders>
          </w:tcPr>
          <w:p>
            <w:pPr>
              <w:pStyle w:val="TableParagraph"/>
              <w:spacing w:before="64"/>
              <w:rPr>
                <w:b/>
                <w:sz w:val="16"/>
              </w:rPr>
            </w:pPr>
          </w:p>
          <w:p>
            <w:pPr>
              <w:pStyle w:val="TableParagraph"/>
              <w:ind w:right="66"/>
              <w:jc w:val="right"/>
              <w:rPr>
                <w:sz w:val="16"/>
              </w:rPr>
            </w:pPr>
            <w:r>
              <w:rPr>
                <w:spacing w:val="-2"/>
                <w:sz w:val="16"/>
              </w:rPr>
              <w:t>40.952,87</w:t>
            </w:r>
          </w:p>
        </w:tc>
      </w:tr>
      <w:tr>
        <w:trPr>
          <w:trHeight w:val="227" w:hRule="atLeast"/>
        </w:trPr>
        <w:tc>
          <w:tcPr>
            <w:tcW w:w="2613" w:type="dxa"/>
          </w:tcPr>
          <w:p>
            <w:pPr>
              <w:pStyle w:val="TableParagraph"/>
              <w:spacing w:before="21"/>
              <w:ind w:left="50"/>
              <w:rPr>
                <w:sz w:val="16"/>
              </w:rPr>
            </w:pPr>
            <w:r>
              <w:rPr>
                <w:spacing w:val="-2"/>
                <w:sz w:val="16"/>
              </w:rPr>
              <w:t>Entradas</w:t>
            </w:r>
          </w:p>
        </w:tc>
        <w:tc>
          <w:tcPr>
            <w:tcW w:w="1348" w:type="dxa"/>
            <w:tcBorders>
              <w:top w:val="double" w:sz="6" w:space="0" w:color="000000"/>
              <w:bottom w:val="single" w:sz="8" w:space="0" w:color="000000"/>
            </w:tcBorders>
          </w:tcPr>
          <w:p>
            <w:pPr>
              <w:pStyle w:val="TableParagraph"/>
              <w:rPr>
                <w:sz w:val="16"/>
              </w:rPr>
            </w:pPr>
          </w:p>
        </w:tc>
        <w:tc>
          <w:tcPr>
            <w:tcW w:w="272" w:type="dxa"/>
          </w:tcPr>
          <w:p>
            <w:pPr>
              <w:pStyle w:val="TableParagraph"/>
              <w:rPr>
                <w:sz w:val="16"/>
              </w:rPr>
            </w:pPr>
          </w:p>
        </w:tc>
        <w:tc>
          <w:tcPr>
            <w:tcW w:w="1207" w:type="dxa"/>
            <w:tcBorders>
              <w:top w:val="double" w:sz="6" w:space="0" w:color="000000"/>
              <w:bottom w:val="single" w:sz="8" w:space="0" w:color="000000"/>
            </w:tcBorders>
          </w:tcPr>
          <w:p>
            <w:pPr>
              <w:pStyle w:val="TableParagraph"/>
              <w:spacing w:before="21"/>
              <w:ind w:right="68"/>
              <w:jc w:val="right"/>
              <w:rPr>
                <w:sz w:val="16"/>
              </w:rPr>
            </w:pPr>
            <w:r>
              <w:rPr>
                <w:spacing w:val="-2"/>
                <w:sz w:val="16"/>
              </w:rPr>
              <w:t>215,12</w:t>
            </w:r>
          </w:p>
        </w:tc>
        <w:tc>
          <w:tcPr>
            <w:tcW w:w="272" w:type="dxa"/>
          </w:tcPr>
          <w:p>
            <w:pPr>
              <w:pStyle w:val="TableParagraph"/>
              <w:rPr>
                <w:sz w:val="16"/>
              </w:rPr>
            </w:pPr>
          </w:p>
        </w:tc>
        <w:tc>
          <w:tcPr>
            <w:tcW w:w="1207" w:type="dxa"/>
            <w:tcBorders>
              <w:top w:val="double" w:sz="6" w:space="0" w:color="000000"/>
              <w:bottom w:val="single" w:sz="8" w:space="0" w:color="000000"/>
            </w:tcBorders>
          </w:tcPr>
          <w:p>
            <w:pPr>
              <w:pStyle w:val="TableParagraph"/>
              <w:spacing w:before="21"/>
              <w:ind w:right="67"/>
              <w:jc w:val="right"/>
              <w:rPr>
                <w:sz w:val="16"/>
              </w:rPr>
            </w:pPr>
            <w:r>
              <w:rPr>
                <w:spacing w:val="-2"/>
                <w:sz w:val="16"/>
              </w:rPr>
              <w:t>2.197,17</w:t>
            </w:r>
          </w:p>
        </w:tc>
        <w:tc>
          <w:tcPr>
            <w:tcW w:w="273" w:type="dxa"/>
          </w:tcPr>
          <w:p>
            <w:pPr>
              <w:pStyle w:val="TableParagraph"/>
              <w:rPr>
                <w:sz w:val="16"/>
              </w:rPr>
            </w:pPr>
          </w:p>
        </w:tc>
        <w:tc>
          <w:tcPr>
            <w:tcW w:w="1207" w:type="dxa"/>
            <w:tcBorders>
              <w:top w:val="double" w:sz="6" w:space="0" w:color="000000"/>
              <w:bottom w:val="single" w:sz="8" w:space="0" w:color="000000"/>
            </w:tcBorders>
          </w:tcPr>
          <w:p>
            <w:pPr>
              <w:pStyle w:val="TableParagraph"/>
              <w:spacing w:before="21"/>
              <w:ind w:right="66"/>
              <w:jc w:val="right"/>
              <w:rPr>
                <w:sz w:val="16"/>
              </w:rPr>
            </w:pPr>
            <w:r>
              <w:rPr>
                <w:spacing w:val="-2"/>
                <w:sz w:val="16"/>
              </w:rPr>
              <w:t>2.412,29</w:t>
            </w:r>
          </w:p>
        </w:tc>
      </w:tr>
      <w:tr>
        <w:trPr>
          <w:trHeight w:val="225" w:hRule="atLeast"/>
        </w:trPr>
        <w:tc>
          <w:tcPr>
            <w:tcW w:w="2613" w:type="dxa"/>
          </w:tcPr>
          <w:p>
            <w:pPr>
              <w:pStyle w:val="TableParagraph"/>
              <w:spacing w:before="20"/>
              <w:ind w:left="50"/>
              <w:rPr>
                <w:sz w:val="16"/>
              </w:rPr>
            </w:pPr>
            <w:r>
              <w:rPr>
                <w:sz w:val="16"/>
              </w:rPr>
              <w:t>Saldo</w:t>
            </w:r>
            <w:r>
              <w:rPr>
                <w:spacing w:val="-3"/>
                <w:sz w:val="16"/>
              </w:rPr>
              <w:t> </w:t>
            </w:r>
            <w:r>
              <w:rPr>
                <w:sz w:val="16"/>
              </w:rPr>
              <w:t>al</w:t>
            </w:r>
            <w:r>
              <w:rPr>
                <w:spacing w:val="-3"/>
                <w:sz w:val="16"/>
              </w:rPr>
              <w:t> </w:t>
            </w:r>
            <w:r>
              <w:rPr>
                <w:spacing w:val="-2"/>
                <w:sz w:val="16"/>
              </w:rPr>
              <w:t>31.12.24</w:t>
            </w:r>
          </w:p>
        </w:tc>
        <w:tc>
          <w:tcPr>
            <w:tcW w:w="1348" w:type="dxa"/>
            <w:tcBorders>
              <w:top w:val="single" w:sz="8" w:space="0" w:color="000000"/>
              <w:bottom w:val="double" w:sz="6" w:space="0" w:color="000000"/>
            </w:tcBorders>
          </w:tcPr>
          <w:p>
            <w:pPr>
              <w:pStyle w:val="TableParagraph"/>
              <w:spacing w:before="20"/>
              <w:ind w:right="68"/>
              <w:jc w:val="right"/>
              <w:rPr>
                <w:sz w:val="16"/>
              </w:rPr>
            </w:pPr>
            <w:r>
              <w:rPr>
                <w:spacing w:val="-2"/>
                <w:sz w:val="16"/>
              </w:rPr>
              <w:t>5.559,00</w:t>
            </w:r>
          </w:p>
        </w:tc>
        <w:tc>
          <w:tcPr>
            <w:tcW w:w="272" w:type="dxa"/>
          </w:tcPr>
          <w:p>
            <w:pPr>
              <w:pStyle w:val="TableParagraph"/>
              <w:rPr>
                <w:sz w:val="16"/>
              </w:rPr>
            </w:pPr>
          </w:p>
        </w:tc>
        <w:tc>
          <w:tcPr>
            <w:tcW w:w="1207" w:type="dxa"/>
            <w:tcBorders>
              <w:top w:val="single" w:sz="8" w:space="0" w:color="000000"/>
              <w:bottom w:val="double" w:sz="6" w:space="0" w:color="000000"/>
            </w:tcBorders>
          </w:tcPr>
          <w:p>
            <w:pPr>
              <w:pStyle w:val="TableParagraph"/>
              <w:spacing w:before="20"/>
              <w:ind w:right="67"/>
              <w:jc w:val="right"/>
              <w:rPr>
                <w:sz w:val="16"/>
              </w:rPr>
            </w:pPr>
            <w:r>
              <w:rPr>
                <w:spacing w:val="-2"/>
                <w:sz w:val="16"/>
              </w:rPr>
              <w:t>29.721,59</w:t>
            </w:r>
          </w:p>
        </w:tc>
        <w:tc>
          <w:tcPr>
            <w:tcW w:w="272" w:type="dxa"/>
          </w:tcPr>
          <w:p>
            <w:pPr>
              <w:pStyle w:val="TableParagraph"/>
              <w:rPr>
                <w:sz w:val="16"/>
              </w:rPr>
            </w:pPr>
          </w:p>
        </w:tc>
        <w:tc>
          <w:tcPr>
            <w:tcW w:w="1207" w:type="dxa"/>
            <w:tcBorders>
              <w:top w:val="single" w:sz="8" w:space="0" w:color="000000"/>
              <w:bottom w:val="double" w:sz="6" w:space="0" w:color="000000"/>
            </w:tcBorders>
          </w:tcPr>
          <w:p>
            <w:pPr>
              <w:pStyle w:val="TableParagraph"/>
              <w:spacing w:before="20"/>
              <w:ind w:right="67"/>
              <w:jc w:val="right"/>
              <w:rPr>
                <w:sz w:val="16"/>
              </w:rPr>
            </w:pPr>
            <w:r>
              <w:rPr>
                <w:spacing w:val="-2"/>
                <w:sz w:val="16"/>
              </w:rPr>
              <w:t>8.084,57</w:t>
            </w:r>
          </w:p>
        </w:tc>
        <w:tc>
          <w:tcPr>
            <w:tcW w:w="273" w:type="dxa"/>
          </w:tcPr>
          <w:p>
            <w:pPr>
              <w:pStyle w:val="TableParagraph"/>
              <w:rPr>
                <w:sz w:val="16"/>
              </w:rPr>
            </w:pPr>
          </w:p>
        </w:tc>
        <w:tc>
          <w:tcPr>
            <w:tcW w:w="1207" w:type="dxa"/>
            <w:tcBorders>
              <w:top w:val="single" w:sz="8" w:space="0" w:color="000000"/>
              <w:bottom w:val="double" w:sz="6" w:space="0" w:color="000000"/>
            </w:tcBorders>
          </w:tcPr>
          <w:p>
            <w:pPr>
              <w:pStyle w:val="TableParagraph"/>
              <w:spacing w:before="20"/>
              <w:ind w:right="66"/>
              <w:jc w:val="right"/>
              <w:rPr>
                <w:sz w:val="16"/>
              </w:rPr>
            </w:pPr>
            <w:r>
              <w:rPr>
                <w:spacing w:val="-2"/>
                <w:sz w:val="16"/>
              </w:rPr>
              <w:t>43.365,16</w:t>
            </w:r>
          </w:p>
        </w:tc>
      </w:tr>
      <w:tr>
        <w:trPr>
          <w:trHeight w:val="227" w:hRule="atLeast"/>
        </w:trPr>
        <w:tc>
          <w:tcPr>
            <w:tcW w:w="2613" w:type="dxa"/>
          </w:tcPr>
          <w:p>
            <w:pPr>
              <w:pStyle w:val="TableParagraph"/>
              <w:spacing w:before="22"/>
              <w:ind w:left="50"/>
              <w:rPr>
                <w:sz w:val="16"/>
              </w:rPr>
            </w:pPr>
            <w:r>
              <w:rPr>
                <w:spacing w:val="-2"/>
                <w:sz w:val="16"/>
              </w:rPr>
              <w:t>Entradas</w:t>
            </w:r>
          </w:p>
        </w:tc>
        <w:tc>
          <w:tcPr>
            <w:tcW w:w="1348" w:type="dxa"/>
            <w:tcBorders>
              <w:top w:val="double" w:sz="6" w:space="0" w:color="000000"/>
              <w:bottom w:val="single" w:sz="8" w:space="0" w:color="000000"/>
            </w:tcBorders>
          </w:tcPr>
          <w:p>
            <w:pPr>
              <w:pStyle w:val="TableParagraph"/>
              <w:rPr>
                <w:sz w:val="16"/>
              </w:rPr>
            </w:pPr>
          </w:p>
        </w:tc>
        <w:tc>
          <w:tcPr>
            <w:tcW w:w="272" w:type="dxa"/>
          </w:tcPr>
          <w:p>
            <w:pPr>
              <w:pStyle w:val="TableParagraph"/>
              <w:rPr>
                <w:sz w:val="16"/>
              </w:rPr>
            </w:pPr>
          </w:p>
        </w:tc>
        <w:tc>
          <w:tcPr>
            <w:tcW w:w="1207" w:type="dxa"/>
            <w:tcBorders>
              <w:top w:val="double" w:sz="6" w:space="0" w:color="000000"/>
              <w:bottom w:val="single" w:sz="8" w:space="0" w:color="000000"/>
            </w:tcBorders>
          </w:tcPr>
          <w:p>
            <w:pPr>
              <w:pStyle w:val="TableParagraph"/>
              <w:rPr>
                <w:sz w:val="16"/>
              </w:rPr>
            </w:pPr>
          </w:p>
        </w:tc>
        <w:tc>
          <w:tcPr>
            <w:tcW w:w="272" w:type="dxa"/>
          </w:tcPr>
          <w:p>
            <w:pPr>
              <w:pStyle w:val="TableParagraph"/>
              <w:rPr>
                <w:sz w:val="16"/>
              </w:rPr>
            </w:pPr>
          </w:p>
        </w:tc>
        <w:tc>
          <w:tcPr>
            <w:tcW w:w="1207" w:type="dxa"/>
            <w:tcBorders>
              <w:top w:val="double" w:sz="6" w:space="0" w:color="000000"/>
              <w:bottom w:val="single" w:sz="8" w:space="0" w:color="000000"/>
            </w:tcBorders>
          </w:tcPr>
          <w:p>
            <w:pPr>
              <w:pStyle w:val="TableParagraph"/>
              <w:spacing w:before="22"/>
              <w:ind w:right="67"/>
              <w:jc w:val="right"/>
              <w:rPr>
                <w:sz w:val="16"/>
              </w:rPr>
            </w:pPr>
            <w:r>
              <w:rPr>
                <w:spacing w:val="-2"/>
                <w:sz w:val="16"/>
              </w:rPr>
              <w:t>1.214,87</w:t>
            </w:r>
          </w:p>
        </w:tc>
        <w:tc>
          <w:tcPr>
            <w:tcW w:w="273" w:type="dxa"/>
          </w:tcPr>
          <w:p>
            <w:pPr>
              <w:pStyle w:val="TableParagraph"/>
              <w:rPr>
                <w:sz w:val="16"/>
              </w:rPr>
            </w:pPr>
          </w:p>
        </w:tc>
        <w:tc>
          <w:tcPr>
            <w:tcW w:w="1207" w:type="dxa"/>
            <w:tcBorders>
              <w:top w:val="double" w:sz="6" w:space="0" w:color="000000"/>
              <w:bottom w:val="single" w:sz="8" w:space="0" w:color="000000"/>
            </w:tcBorders>
          </w:tcPr>
          <w:p>
            <w:pPr>
              <w:pStyle w:val="TableParagraph"/>
              <w:spacing w:before="22"/>
              <w:ind w:right="66"/>
              <w:jc w:val="right"/>
              <w:rPr>
                <w:sz w:val="16"/>
              </w:rPr>
            </w:pPr>
            <w:r>
              <w:rPr>
                <w:spacing w:val="-2"/>
                <w:sz w:val="16"/>
              </w:rPr>
              <w:t>1.214,87</w:t>
            </w:r>
          </w:p>
        </w:tc>
      </w:tr>
      <w:tr>
        <w:trPr>
          <w:trHeight w:val="226" w:hRule="atLeast"/>
        </w:trPr>
        <w:tc>
          <w:tcPr>
            <w:tcW w:w="2613" w:type="dxa"/>
          </w:tcPr>
          <w:p>
            <w:pPr>
              <w:pStyle w:val="TableParagraph"/>
              <w:spacing w:before="22"/>
              <w:ind w:left="50"/>
              <w:rPr>
                <w:b/>
                <w:sz w:val="16"/>
              </w:rPr>
            </w:pPr>
            <w:r>
              <w:rPr>
                <w:b/>
                <w:sz w:val="16"/>
              </w:rPr>
              <w:t>Saldo</w:t>
            </w:r>
            <w:r>
              <w:rPr>
                <w:b/>
                <w:spacing w:val="-3"/>
                <w:sz w:val="16"/>
              </w:rPr>
              <w:t> </w:t>
            </w:r>
            <w:r>
              <w:rPr>
                <w:b/>
                <w:sz w:val="16"/>
              </w:rPr>
              <w:t>al</w:t>
            </w:r>
            <w:r>
              <w:rPr>
                <w:b/>
                <w:spacing w:val="-4"/>
                <w:sz w:val="16"/>
              </w:rPr>
              <w:t> </w:t>
            </w:r>
            <w:r>
              <w:rPr>
                <w:b/>
                <w:spacing w:val="-2"/>
                <w:sz w:val="16"/>
              </w:rPr>
              <w:t>31.12.25</w:t>
            </w:r>
          </w:p>
        </w:tc>
        <w:tc>
          <w:tcPr>
            <w:tcW w:w="1348" w:type="dxa"/>
            <w:tcBorders>
              <w:top w:val="single" w:sz="8" w:space="0" w:color="000000"/>
              <w:bottom w:val="double" w:sz="6" w:space="0" w:color="000000"/>
            </w:tcBorders>
          </w:tcPr>
          <w:p>
            <w:pPr>
              <w:pStyle w:val="TableParagraph"/>
              <w:spacing w:before="22"/>
              <w:ind w:right="68"/>
              <w:jc w:val="right"/>
              <w:rPr>
                <w:b/>
                <w:sz w:val="16"/>
              </w:rPr>
            </w:pPr>
            <w:r>
              <w:rPr>
                <w:b/>
                <w:spacing w:val="-2"/>
                <w:sz w:val="16"/>
              </w:rPr>
              <w:t>5.559,00</w:t>
            </w:r>
          </w:p>
        </w:tc>
        <w:tc>
          <w:tcPr>
            <w:tcW w:w="272" w:type="dxa"/>
          </w:tcPr>
          <w:p>
            <w:pPr>
              <w:pStyle w:val="TableParagraph"/>
              <w:rPr>
                <w:sz w:val="16"/>
              </w:rPr>
            </w:pPr>
          </w:p>
        </w:tc>
        <w:tc>
          <w:tcPr>
            <w:tcW w:w="1207" w:type="dxa"/>
            <w:tcBorders>
              <w:top w:val="single" w:sz="8" w:space="0" w:color="000000"/>
              <w:bottom w:val="double" w:sz="6" w:space="0" w:color="000000"/>
            </w:tcBorders>
          </w:tcPr>
          <w:p>
            <w:pPr>
              <w:pStyle w:val="TableParagraph"/>
              <w:spacing w:before="22"/>
              <w:ind w:right="67"/>
              <w:jc w:val="right"/>
              <w:rPr>
                <w:b/>
                <w:sz w:val="16"/>
              </w:rPr>
            </w:pPr>
            <w:r>
              <w:rPr>
                <w:b/>
                <w:spacing w:val="-2"/>
                <w:sz w:val="16"/>
              </w:rPr>
              <w:t>29.721,59</w:t>
            </w:r>
          </w:p>
        </w:tc>
        <w:tc>
          <w:tcPr>
            <w:tcW w:w="272" w:type="dxa"/>
          </w:tcPr>
          <w:p>
            <w:pPr>
              <w:pStyle w:val="TableParagraph"/>
              <w:rPr>
                <w:sz w:val="16"/>
              </w:rPr>
            </w:pPr>
          </w:p>
        </w:tc>
        <w:tc>
          <w:tcPr>
            <w:tcW w:w="1207" w:type="dxa"/>
            <w:tcBorders>
              <w:top w:val="single" w:sz="8" w:space="0" w:color="000000"/>
              <w:bottom w:val="double" w:sz="6" w:space="0" w:color="000000"/>
            </w:tcBorders>
          </w:tcPr>
          <w:p>
            <w:pPr>
              <w:pStyle w:val="TableParagraph"/>
              <w:spacing w:before="22"/>
              <w:ind w:right="67"/>
              <w:jc w:val="right"/>
              <w:rPr>
                <w:b/>
                <w:sz w:val="16"/>
              </w:rPr>
            </w:pPr>
            <w:r>
              <w:rPr>
                <w:b/>
                <w:spacing w:val="-2"/>
                <w:sz w:val="16"/>
              </w:rPr>
              <w:t>9.299,44</w:t>
            </w:r>
          </w:p>
        </w:tc>
        <w:tc>
          <w:tcPr>
            <w:tcW w:w="273" w:type="dxa"/>
          </w:tcPr>
          <w:p>
            <w:pPr>
              <w:pStyle w:val="TableParagraph"/>
              <w:rPr>
                <w:sz w:val="16"/>
              </w:rPr>
            </w:pPr>
          </w:p>
        </w:tc>
        <w:tc>
          <w:tcPr>
            <w:tcW w:w="1207" w:type="dxa"/>
            <w:tcBorders>
              <w:top w:val="single" w:sz="8" w:space="0" w:color="000000"/>
              <w:bottom w:val="double" w:sz="6" w:space="0" w:color="000000"/>
            </w:tcBorders>
          </w:tcPr>
          <w:p>
            <w:pPr>
              <w:pStyle w:val="TableParagraph"/>
              <w:spacing w:before="22"/>
              <w:ind w:right="66"/>
              <w:jc w:val="right"/>
              <w:rPr>
                <w:b/>
                <w:sz w:val="16"/>
              </w:rPr>
            </w:pPr>
            <w:r>
              <w:rPr>
                <w:b/>
                <w:spacing w:val="-2"/>
                <w:sz w:val="16"/>
              </w:rPr>
              <w:t>44.580,03</w:t>
            </w:r>
          </w:p>
        </w:tc>
      </w:tr>
      <w:tr>
        <w:trPr>
          <w:trHeight w:val="454" w:hRule="atLeast"/>
        </w:trPr>
        <w:tc>
          <w:tcPr>
            <w:tcW w:w="2613" w:type="dxa"/>
          </w:tcPr>
          <w:p>
            <w:pPr>
              <w:pStyle w:val="TableParagraph"/>
              <w:spacing w:before="21"/>
              <w:ind w:left="50"/>
              <w:rPr>
                <w:b/>
                <w:sz w:val="16"/>
              </w:rPr>
            </w:pPr>
            <w:r>
              <w:rPr>
                <w:b/>
                <w:spacing w:val="-2"/>
                <w:sz w:val="16"/>
                <w:u w:val="single"/>
              </w:rPr>
              <w:t>Amortización</w:t>
            </w:r>
            <w:r>
              <w:rPr>
                <w:b/>
                <w:spacing w:val="13"/>
                <w:sz w:val="16"/>
                <w:u w:val="single"/>
              </w:rPr>
              <w:t> </w:t>
            </w:r>
            <w:r>
              <w:rPr>
                <w:b/>
                <w:spacing w:val="-2"/>
                <w:sz w:val="16"/>
                <w:u w:val="single"/>
              </w:rPr>
              <w:t>acumulada</w:t>
            </w:r>
          </w:p>
          <w:p>
            <w:pPr>
              <w:pStyle w:val="TableParagraph"/>
              <w:spacing w:before="43"/>
              <w:ind w:left="50"/>
              <w:rPr>
                <w:sz w:val="16"/>
              </w:rPr>
            </w:pPr>
            <w:r>
              <w:rPr>
                <w:sz w:val="16"/>
              </w:rPr>
              <w:t>Saldo</w:t>
            </w:r>
            <w:r>
              <w:rPr>
                <w:spacing w:val="-3"/>
                <w:sz w:val="16"/>
              </w:rPr>
              <w:t> </w:t>
            </w:r>
            <w:r>
              <w:rPr>
                <w:sz w:val="16"/>
              </w:rPr>
              <w:t>al</w:t>
            </w:r>
            <w:r>
              <w:rPr>
                <w:spacing w:val="-3"/>
                <w:sz w:val="16"/>
              </w:rPr>
              <w:t> </w:t>
            </w:r>
            <w:r>
              <w:rPr>
                <w:spacing w:val="-2"/>
                <w:sz w:val="16"/>
              </w:rPr>
              <w:t>01.01.24</w:t>
            </w:r>
          </w:p>
        </w:tc>
        <w:tc>
          <w:tcPr>
            <w:tcW w:w="1348" w:type="dxa"/>
            <w:tcBorders>
              <w:top w:val="double" w:sz="6" w:space="0" w:color="000000"/>
              <w:bottom w:val="double" w:sz="6" w:space="0" w:color="000000"/>
            </w:tcBorders>
          </w:tcPr>
          <w:p>
            <w:pPr>
              <w:pStyle w:val="TableParagraph"/>
              <w:spacing w:before="64"/>
              <w:rPr>
                <w:b/>
                <w:sz w:val="16"/>
              </w:rPr>
            </w:pPr>
          </w:p>
          <w:p>
            <w:pPr>
              <w:pStyle w:val="TableParagraph"/>
              <w:ind w:right="68"/>
              <w:jc w:val="right"/>
              <w:rPr>
                <w:sz w:val="16"/>
              </w:rPr>
            </w:pPr>
            <w:r>
              <w:rPr>
                <w:spacing w:val="-2"/>
                <w:sz w:val="16"/>
              </w:rPr>
              <w:t>-648,55</w:t>
            </w:r>
          </w:p>
        </w:tc>
        <w:tc>
          <w:tcPr>
            <w:tcW w:w="272" w:type="dxa"/>
          </w:tcPr>
          <w:p>
            <w:pPr>
              <w:pStyle w:val="TableParagraph"/>
              <w:rPr>
                <w:sz w:val="18"/>
              </w:rPr>
            </w:pPr>
          </w:p>
        </w:tc>
        <w:tc>
          <w:tcPr>
            <w:tcW w:w="1207" w:type="dxa"/>
            <w:tcBorders>
              <w:top w:val="double" w:sz="6" w:space="0" w:color="000000"/>
              <w:bottom w:val="double" w:sz="6" w:space="0" w:color="000000"/>
            </w:tcBorders>
          </w:tcPr>
          <w:p>
            <w:pPr>
              <w:pStyle w:val="TableParagraph"/>
              <w:spacing w:before="64"/>
              <w:rPr>
                <w:b/>
                <w:sz w:val="16"/>
              </w:rPr>
            </w:pPr>
          </w:p>
          <w:p>
            <w:pPr>
              <w:pStyle w:val="TableParagraph"/>
              <w:ind w:right="68"/>
              <w:jc w:val="right"/>
              <w:rPr>
                <w:sz w:val="16"/>
              </w:rPr>
            </w:pPr>
            <w:r>
              <w:rPr>
                <w:spacing w:val="-2"/>
                <w:sz w:val="16"/>
              </w:rPr>
              <w:t>-27.708,14</w:t>
            </w:r>
          </w:p>
        </w:tc>
        <w:tc>
          <w:tcPr>
            <w:tcW w:w="272" w:type="dxa"/>
          </w:tcPr>
          <w:p>
            <w:pPr>
              <w:pStyle w:val="TableParagraph"/>
              <w:rPr>
                <w:sz w:val="18"/>
              </w:rPr>
            </w:pPr>
          </w:p>
        </w:tc>
        <w:tc>
          <w:tcPr>
            <w:tcW w:w="1207" w:type="dxa"/>
            <w:tcBorders>
              <w:top w:val="double" w:sz="6" w:space="0" w:color="000000"/>
              <w:bottom w:val="double" w:sz="6" w:space="0" w:color="000000"/>
            </w:tcBorders>
          </w:tcPr>
          <w:p>
            <w:pPr>
              <w:pStyle w:val="TableParagraph"/>
              <w:spacing w:before="64"/>
              <w:rPr>
                <w:b/>
                <w:sz w:val="16"/>
              </w:rPr>
            </w:pPr>
          </w:p>
          <w:p>
            <w:pPr>
              <w:pStyle w:val="TableParagraph"/>
              <w:ind w:right="67"/>
              <w:jc w:val="right"/>
              <w:rPr>
                <w:sz w:val="16"/>
              </w:rPr>
            </w:pPr>
            <w:r>
              <w:rPr>
                <w:spacing w:val="-2"/>
                <w:sz w:val="16"/>
              </w:rPr>
              <w:t>-4.960,50</w:t>
            </w:r>
          </w:p>
        </w:tc>
        <w:tc>
          <w:tcPr>
            <w:tcW w:w="273" w:type="dxa"/>
          </w:tcPr>
          <w:p>
            <w:pPr>
              <w:pStyle w:val="TableParagraph"/>
              <w:rPr>
                <w:sz w:val="18"/>
              </w:rPr>
            </w:pPr>
          </w:p>
        </w:tc>
        <w:tc>
          <w:tcPr>
            <w:tcW w:w="1207" w:type="dxa"/>
            <w:tcBorders>
              <w:top w:val="double" w:sz="6" w:space="0" w:color="000000"/>
              <w:bottom w:val="double" w:sz="6" w:space="0" w:color="000000"/>
            </w:tcBorders>
          </w:tcPr>
          <w:p>
            <w:pPr>
              <w:pStyle w:val="TableParagraph"/>
              <w:spacing w:before="64"/>
              <w:rPr>
                <w:b/>
                <w:sz w:val="16"/>
              </w:rPr>
            </w:pPr>
          </w:p>
          <w:p>
            <w:pPr>
              <w:pStyle w:val="TableParagraph"/>
              <w:ind w:right="66"/>
              <w:jc w:val="right"/>
              <w:rPr>
                <w:sz w:val="16"/>
              </w:rPr>
            </w:pPr>
            <w:r>
              <w:rPr>
                <w:spacing w:val="-2"/>
                <w:sz w:val="16"/>
              </w:rPr>
              <w:t>-33.317,19</w:t>
            </w:r>
          </w:p>
        </w:tc>
      </w:tr>
      <w:tr>
        <w:trPr>
          <w:trHeight w:val="226" w:hRule="atLeast"/>
        </w:trPr>
        <w:tc>
          <w:tcPr>
            <w:tcW w:w="2613" w:type="dxa"/>
          </w:tcPr>
          <w:p>
            <w:pPr>
              <w:pStyle w:val="TableParagraph"/>
              <w:spacing w:before="21"/>
              <w:ind w:left="50"/>
              <w:rPr>
                <w:sz w:val="16"/>
              </w:rPr>
            </w:pPr>
            <w:r>
              <w:rPr>
                <w:sz w:val="16"/>
              </w:rPr>
              <w:t>Dotación</w:t>
            </w:r>
            <w:r>
              <w:rPr>
                <w:spacing w:val="-3"/>
                <w:sz w:val="16"/>
              </w:rPr>
              <w:t> </w:t>
            </w:r>
            <w:r>
              <w:rPr>
                <w:sz w:val="16"/>
              </w:rPr>
              <w:t>a</w:t>
            </w:r>
            <w:r>
              <w:rPr>
                <w:spacing w:val="-4"/>
                <w:sz w:val="16"/>
              </w:rPr>
              <w:t> </w:t>
            </w:r>
            <w:r>
              <w:rPr>
                <w:sz w:val="16"/>
              </w:rPr>
              <w:t>la</w:t>
            </w:r>
            <w:r>
              <w:rPr>
                <w:spacing w:val="-3"/>
                <w:sz w:val="16"/>
              </w:rPr>
              <w:t> </w:t>
            </w:r>
            <w:r>
              <w:rPr>
                <w:spacing w:val="-2"/>
                <w:sz w:val="16"/>
              </w:rPr>
              <w:t>amortización</w:t>
            </w:r>
          </w:p>
        </w:tc>
        <w:tc>
          <w:tcPr>
            <w:tcW w:w="1348" w:type="dxa"/>
            <w:tcBorders>
              <w:top w:val="double" w:sz="6" w:space="0" w:color="000000"/>
              <w:bottom w:val="single" w:sz="8" w:space="0" w:color="000000"/>
            </w:tcBorders>
          </w:tcPr>
          <w:p>
            <w:pPr>
              <w:pStyle w:val="TableParagraph"/>
              <w:spacing w:before="21"/>
              <w:ind w:right="68"/>
              <w:jc w:val="right"/>
              <w:rPr>
                <w:sz w:val="16"/>
              </w:rPr>
            </w:pPr>
            <w:r>
              <w:rPr>
                <w:spacing w:val="-2"/>
                <w:sz w:val="16"/>
              </w:rPr>
              <w:t>-1.111,80</w:t>
            </w:r>
          </w:p>
        </w:tc>
        <w:tc>
          <w:tcPr>
            <w:tcW w:w="272" w:type="dxa"/>
          </w:tcPr>
          <w:p>
            <w:pPr>
              <w:pStyle w:val="TableParagraph"/>
              <w:rPr>
                <w:sz w:val="16"/>
              </w:rPr>
            </w:pPr>
          </w:p>
        </w:tc>
        <w:tc>
          <w:tcPr>
            <w:tcW w:w="1207" w:type="dxa"/>
            <w:tcBorders>
              <w:top w:val="double" w:sz="6" w:space="0" w:color="000000"/>
              <w:bottom w:val="single" w:sz="8" w:space="0" w:color="000000"/>
            </w:tcBorders>
          </w:tcPr>
          <w:p>
            <w:pPr>
              <w:pStyle w:val="TableParagraph"/>
              <w:spacing w:before="21"/>
              <w:ind w:right="68"/>
              <w:jc w:val="right"/>
              <w:rPr>
                <w:sz w:val="16"/>
              </w:rPr>
            </w:pPr>
            <w:r>
              <w:rPr>
                <w:spacing w:val="-2"/>
                <w:sz w:val="16"/>
              </w:rPr>
              <w:t>-294,16</w:t>
            </w:r>
          </w:p>
        </w:tc>
        <w:tc>
          <w:tcPr>
            <w:tcW w:w="272" w:type="dxa"/>
          </w:tcPr>
          <w:p>
            <w:pPr>
              <w:pStyle w:val="TableParagraph"/>
              <w:rPr>
                <w:sz w:val="16"/>
              </w:rPr>
            </w:pPr>
          </w:p>
        </w:tc>
        <w:tc>
          <w:tcPr>
            <w:tcW w:w="1207" w:type="dxa"/>
            <w:tcBorders>
              <w:top w:val="double" w:sz="6" w:space="0" w:color="000000"/>
              <w:bottom w:val="single" w:sz="8" w:space="0" w:color="000000"/>
            </w:tcBorders>
          </w:tcPr>
          <w:p>
            <w:pPr>
              <w:pStyle w:val="TableParagraph"/>
              <w:spacing w:before="21"/>
              <w:ind w:right="67"/>
              <w:jc w:val="right"/>
              <w:rPr>
                <w:sz w:val="16"/>
              </w:rPr>
            </w:pPr>
            <w:r>
              <w:rPr>
                <w:spacing w:val="-2"/>
                <w:sz w:val="16"/>
              </w:rPr>
              <w:t>-843,86</w:t>
            </w:r>
          </w:p>
        </w:tc>
        <w:tc>
          <w:tcPr>
            <w:tcW w:w="273" w:type="dxa"/>
          </w:tcPr>
          <w:p>
            <w:pPr>
              <w:pStyle w:val="TableParagraph"/>
              <w:rPr>
                <w:sz w:val="16"/>
              </w:rPr>
            </w:pPr>
          </w:p>
        </w:tc>
        <w:tc>
          <w:tcPr>
            <w:tcW w:w="1207" w:type="dxa"/>
            <w:tcBorders>
              <w:top w:val="double" w:sz="6" w:space="0" w:color="000000"/>
              <w:bottom w:val="single" w:sz="8" w:space="0" w:color="000000"/>
            </w:tcBorders>
          </w:tcPr>
          <w:p>
            <w:pPr>
              <w:pStyle w:val="TableParagraph"/>
              <w:spacing w:before="21"/>
              <w:ind w:right="66"/>
              <w:jc w:val="right"/>
              <w:rPr>
                <w:sz w:val="16"/>
              </w:rPr>
            </w:pPr>
            <w:r>
              <w:rPr>
                <w:spacing w:val="-2"/>
                <w:sz w:val="16"/>
              </w:rPr>
              <w:t>-2.249,82</w:t>
            </w:r>
          </w:p>
        </w:tc>
      </w:tr>
      <w:tr>
        <w:trPr>
          <w:trHeight w:val="226" w:hRule="atLeast"/>
        </w:trPr>
        <w:tc>
          <w:tcPr>
            <w:tcW w:w="2613" w:type="dxa"/>
          </w:tcPr>
          <w:p>
            <w:pPr>
              <w:pStyle w:val="TableParagraph"/>
              <w:spacing w:before="22"/>
              <w:ind w:left="50"/>
              <w:rPr>
                <w:sz w:val="16"/>
              </w:rPr>
            </w:pPr>
            <w:r>
              <w:rPr>
                <w:sz w:val="16"/>
              </w:rPr>
              <w:t>Saldo</w:t>
            </w:r>
            <w:r>
              <w:rPr>
                <w:spacing w:val="-3"/>
                <w:sz w:val="16"/>
              </w:rPr>
              <w:t> </w:t>
            </w:r>
            <w:r>
              <w:rPr>
                <w:sz w:val="16"/>
              </w:rPr>
              <w:t>al</w:t>
            </w:r>
            <w:r>
              <w:rPr>
                <w:spacing w:val="-3"/>
                <w:sz w:val="16"/>
              </w:rPr>
              <w:t> </w:t>
            </w:r>
            <w:r>
              <w:rPr>
                <w:spacing w:val="-2"/>
                <w:sz w:val="16"/>
              </w:rPr>
              <w:t>31.12.24</w:t>
            </w:r>
          </w:p>
        </w:tc>
        <w:tc>
          <w:tcPr>
            <w:tcW w:w="1348" w:type="dxa"/>
            <w:tcBorders>
              <w:top w:val="single" w:sz="8" w:space="0" w:color="000000"/>
              <w:bottom w:val="double" w:sz="6" w:space="0" w:color="000000"/>
            </w:tcBorders>
          </w:tcPr>
          <w:p>
            <w:pPr>
              <w:pStyle w:val="TableParagraph"/>
              <w:spacing w:before="22"/>
              <w:ind w:right="68"/>
              <w:jc w:val="right"/>
              <w:rPr>
                <w:sz w:val="16"/>
              </w:rPr>
            </w:pPr>
            <w:r>
              <w:rPr>
                <w:spacing w:val="-2"/>
                <w:sz w:val="16"/>
              </w:rPr>
              <w:t>-1.760,35</w:t>
            </w:r>
          </w:p>
        </w:tc>
        <w:tc>
          <w:tcPr>
            <w:tcW w:w="272" w:type="dxa"/>
          </w:tcPr>
          <w:p>
            <w:pPr>
              <w:pStyle w:val="TableParagraph"/>
              <w:rPr>
                <w:sz w:val="16"/>
              </w:rPr>
            </w:pPr>
          </w:p>
        </w:tc>
        <w:tc>
          <w:tcPr>
            <w:tcW w:w="1207" w:type="dxa"/>
            <w:tcBorders>
              <w:top w:val="single" w:sz="8" w:space="0" w:color="000000"/>
              <w:bottom w:val="double" w:sz="6" w:space="0" w:color="000000"/>
            </w:tcBorders>
          </w:tcPr>
          <w:p>
            <w:pPr>
              <w:pStyle w:val="TableParagraph"/>
              <w:spacing w:before="22"/>
              <w:ind w:right="68"/>
              <w:jc w:val="right"/>
              <w:rPr>
                <w:sz w:val="16"/>
              </w:rPr>
            </w:pPr>
            <w:r>
              <w:rPr>
                <w:spacing w:val="-2"/>
                <w:sz w:val="16"/>
              </w:rPr>
              <w:t>-28.002,30</w:t>
            </w:r>
          </w:p>
        </w:tc>
        <w:tc>
          <w:tcPr>
            <w:tcW w:w="272" w:type="dxa"/>
          </w:tcPr>
          <w:p>
            <w:pPr>
              <w:pStyle w:val="TableParagraph"/>
              <w:rPr>
                <w:sz w:val="16"/>
              </w:rPr>
            </w:pPr>
          </w:p>
        </w:tc>
        <w:tc>
          <w:tcPr>
            <w:tcW w:w="1207" w:type="dxa"/>
            <w:tcBorders>
              <w:top w:val="single" w:sz="8" w:space="0" w:color="000000"/>
              <w:bottom w:val="double" w:sz="6" w:space="0" w:color="000000"/>
            </w:tcBorders>
          </w:tcPr>
          <w:p>
            <w:pPr>
              <w:pStyle w:val="TableParagraph"/>
              <w:spacing w:before="22"/>
              <w:ind w:right="67"/>
              <w:jc w:val="right"/>
              <w:rPr>
                <w:sz w:val="16"/>
              </w:rPr>
            </w:pPr>
            <w:r>
              <w:rPr>
                <w:spacing w:val="-2"/>
                <w:sz w:val="16"/>
              </w:rPr>
              <w:t>-5.804,36</w:t>
            </w:r>
          </w:p>
        </w:tc>
        <w:tc>
          <w:tcPr>
            <w:tcW w:w="273" w:type="dxa"/>
          </w:tcPr>
          <w:p>
            <w:pPr>
              <w:pStyle w:val="TableParagraph"/>
              <w:rPr>
                <w:sz w:val="16"/>
              </w:rPr>
            </w:pPr>
          </w:p>
        </w:tc>
        <w:tc>
          <w:tcPr>
            <w:tcW w:w="1207" w:type="dxa"/>
            <w:tcBorders>
              <w:top w:val="single" w:sz="8" w:space="0" w:color="000000"/>
              <w:bottom w:val="double" w:sz="6" w:space="0" w:color="000000"/>
            </w:tcBorders>
          </w:tcPr>
          <w:p>
            <w:pPr>
              <w:pStyle w:val="TableParagraph"/>
              <w:spacing w:before="22"/>
              <w:ind w:right="66"/>
              <w:jc w:val="right"/>
              <w:rPr>
                <w:sz w:val="16"/>
              </w:rPr>
            </w:pPr>
            <w:r>
              <w:rPr>
                <w:spacing w:val="-2"/>
                <w:sz w:val="16"/>
              </w:rPr>
              <w:t>-35.567,01</w:t>
            </w:r>
          </w:p>
        </w:tc>
      </w:tr>
      <w:tr>
        <w:trPr>
          <w:trHeight w:val="227" w:hRule="atLeast"/>
        </w:trPr>
        <w:tc>
          <w:tcPr>
            <w:tcW w:w="2613" w:type="dxa"/>
          </w:tcPr>
          <w:p>
            <w:pPr>
              <w:pStyle w:val="TableParagraph"/>
              <w:spacing w:before="22"/>
              <w:ind w:left="50"/>
              <w:rPr>
                <w:sz w:val="16"/>
              </w:rPr>
            </w:pPr>
            <w:r>
              <w:rPr>
                <w:sz w:val="16"/>
              </w:rPr>
              <w:t>Dotación</w:t>
            </w:r>
            <w:r>
              <w:rPr>
                <w:spacing w:val="-3"/>
                <w:sz w:val="16"/>
              </w:rPr>
              <w:t> </w:t>
            </w:r>
            <w:r>
              <w:rPr>
                <w:sz w:val="16"/>
              </w:rPr>
              <w:t>a</w:t>
            </w:r>
            <w:r>
              <w:rPr>
                <w:spacing w:val="-4"/>
                <w:sz w:val="16"/>
              </w:rPr>
              <w:t> </w:t>
            </w:r>
            <w:r>
              <w:rPr>
                <w:sz w:val="16"/>
              </w:rPr>
              <w:t>la</w:t>
            </w:r>
            <w:r>
              <w:rPr>
                <w:spacing w:val="-3"/>
                <w:sz w:val="16"/>
              </w:rPr>
              <w:t> </w:t>
            </w:r>
            <w:r>
              <w:rPr>
                <w:spacing w:val="-2"/>
                <w:sz w:val="16"/>
              </w:rPr>
              <w:t>amortización</w:t>
            </w:r>
          </w:p>
        </w:tc>
        <w:tc>
          <w:tcPr>
            <w:tcW w:w="1348" w:type="dxa"/>
            <w:tcBorders>
              <w:top w:val="double" w:sz="6" w:space="0" w:color="000000"/>
              <w:bottom w:val="single" w:sz="8" w:space="0" w:color="000000"/>
            </w:tcBorders>
          </w:tcPr>
          <w:p>
            <w:pPr>
              <w:pStyle w:val="TableParagraph"/>
              <w:spacing w:before="22"/>
              <w:ind w:right="68"/>
              <w:jc w:val="right"/>
              <w:rPr>
                <w:sz w:val="16"/>
              </w:rPr>
            </w:pPr>
            <w:r>
              <w:rPr>
                <w:spacing w:val="-2"/>
                <w:sz w:val="16"/>
              </w:rPr>
              <w:t>-1.111,80</w:t>
            </w:r>
          </w:p>
        </w:tc>
        <w:tc>
          <w:tcPr>
            <w:tcW w:w="272" w:type="dxa"/>
          </w:tcPr>
          <w:p>
            <w:pPr>
              <w:pStyle w:val="TableParagraph"/>
              <w:rPr>
                <w:sz w:val="16"/>
              </w:rPr>
            </w:pPr>
          </w:p>
        </w:tc>
        <w:tc>
          <w:tcPr>
            <w:tcW w:w="1207" w:type="dxa"/>
            <w:tcBorders>
              <w:top w:val="double" w:sz="6" w:space="0" w:color="000000"/>
              <w:bottom w:val="single" w:sz="8" w:space="0" w:color="000000"/>
            </w:tcBorders>
          </w:tcPr>
          <w:p>
            <w:pPr>
              <w:pStyle w:val="TableParagraph"/>
              <w:spacing w:before="22"/>
              <w:ind w:right="68"/>
              <w:jc w:val="right"/>
              <w:rPr>
                <w:sz w:val="16"/>
              </w:rPr>
            </w:pPr>
            <w:r>
              <w:rPr>
                <w:spacing w:val="-2"/>
                <w:sz w:val="16"/>
              </w:rPr>
              <w:t>-321,05</w:t>
            </w:r>
          </w:p>
        </w:tc>
        <w:tc>
          <w:tcPr>
            <w:tcW w:w="272" w:type="dxa"/>
          </w:tcPr>
          <w:p>
            <w:pPr>
              <w:pStyle w:val="TableParagraph"/>
              <w:rPr>
                <w:sz w:val="16"/>
              </w:rPr>
            </w:pPr>
          </w:p>
        </w:tc>
        <w:tc>
          <w:tcPr>
            <w:tcW w:w="1207" w:type="dxa"/>
            <w:tcBorders>
              <w:top w:val="double" w:sz="6" w:space="0" w:color="000000"/>
              <w:bottom w:val="single" w:sz="8" w:space="0" w:color="000000"/>
            </w:tcBorders>
          </w:tcPr>
          <w:p>
            <w:pPr>
              <w:pStyle w:val="TableParagraph"/>
              <w:spacing w:before="22"/>
              <w:ind w:right="67"/>
              <w:jc w:val="right"/>
              <w:rPr>
                <w:sz w:val="16"/>
              </w:rPr>
            </w:pPr>
            <w:r>
              <w:rPr>
                <w:spacing w:val="-2"/>
                <w:sz w:val="16"/>
              </w:rPr>
              <w:t>-935,32</w:t>
            </w:r>
          </w:p>
        </w:tc>
        <w:tc>
          <w:tcPr>
            <w:tcW w:w="273" w:type="dxa"/>
          </w:tcPr>
          <w:p>
            <w:pPr>
              <w:pStyle w:val="TableParagraph"/>
              <w:rPr>
                <w:sz w:val="16"/>
              </w:rPr>
            </w:pPr>
          </w:p>
        </w:tc>
        <w:tc>
          <w:tcPr>
            <w:tcW w:w="1207" w:type="dxa"/>
            <w:tcBorders>
              <w:top w:val="double" w:sz="6" w:space="0" w:color="000000"/>
              <w:bottom w:val="single" w:sz="8" w:space="0" w:color="000000"/>
            </w:tcBorders>
          </w:tcPr>
          <w:p>
            <w:pPr>
              <w:pStyle w:val="TableParagraph"/>
              <w:spacing w:before="22"/>
              <w:ind w:right="66"/>
              <w:jc w:val="right"/>
              <w:rPr>
                <w:sz w:val="16"/>
              </w:rPr>
            </w:pPr>
            <w:r>
              <w:rPr>
                <w:spacing w:val="-2"/>
                <w:sz w:val="16"/>
              </w:rPr>
              <w:t>-2.368,17</w:t>
            </w:r>
          </w:p>
        </w:tc>
      </w:tr>
      <w:tr>
        <w:trPr>
          <w:trHeight w:val="227" w:hRule="atLeast"/>
        </w:trPr>
        <w:tc>
          <w:tcPr>
            <w:tcW w:w="2613" w:type="dxa"/>
          </w:tcPr>
          <w:p>
            <w:pPr>
              <w:pStyle w:val="TableParagraph"/>
              <w:spacing w:before="21"/>
              <w:ind w:left="50"/>
              <w:rPr>
                <w:b/>
                <w:sz w:val="16"/>
              </w:rPr>
            </w:pPr>
            <w:r>
              <w:rPr>
                <w:b/>
                <w:sz w:val="16"/>
              </w:rPr>
              <w:t>Saldo</w:t>
            </w:r>
            <w:r>
              <w:rPr>
                <w:b/>
                <w:spacing w:val="-3"/>
                <w:sz w:val="16"/>
              </w:rPr>
              <w:t> </w:t>
            </w:r>
            <w:r>
              <w:rPr>
                <w:b/>
                <w:sz w:val="16"/>
              </w:rPr>
              <w:t>al</w:t>
            </w:r>
            <w:r>
              <w:rPr>
                <w:b/>
                <w:spacing w:val="-4"/>
                <w:sz w:val="16"/>
              </w:rPr>
              <w:t> </w:t>
            </w:r>
            <w:r>
              <w:rPr>
                <w:b/>
                <w:spacing w:val="-2"/>
                <w:sz w:val="16"/>
              </w:rPr>
              <w:t>31.12.25</w:t>
            </w:r>
          </w:p>
        </w:tc>
        <w:tc>
          <w:tcPr>
            <w:tcW w:w="1348" w:type="dxa"/>
            <w:tcBorders>
              <w:top w:val="single" w:sz="8" w:space="0" w:color="000000"/>
              <w:bottom w:val="double" w:sz="6" w:space="0" w:color="000000"/>
            </w:tcBorders>
          </w:tcPr>
          <w:p>
            <w:pPr>
              <w:pStyle w:val="TableParagraph"/>
              <w:spacing w:before="21"/>
              <w:ind w:right="68"/>
              <w:jc w:val="right"/>
              <w:rPr>
                <w:b/>
                <w:sz w:val="16"/>
              </w:rPr>
            </w:pPr>
            <w:r>
              <w:rPr>
                <w:b/>
                <w:spacing w:val="-2"/>
                <w:sz w:val="16"/>
              </w:rPr>
              <w:t>-2.872,15</w:t>
            </w:r>
          </w:p>
        </w:tc>
        <w:tc>
          <w:tcPr>
            <w:tcW w:w="272" w:type="dxa"/>
          </w:tcPr>
          <w:p>
            <w:pPr>
              <w:pStyle w:val="TableParagraph"/>
              <w:rPr>
                <w:sz w:val="16"/>
              </w:rPr>
            </w:pPr>
          </w:p>
        </w:tc>
        <w:tc>
          <w:tcPr>
            <w:tcW w:w="1207" w:type="dxa"/>
            <w:tcBorders>
              <w:top w:val="single" w:sz="8" w:space="0" w:color="000000"/>
              <w:bottom w:val="double" w:sz="6" w:space="0" w:color="000000"/>
            </w:tcBorders>
          </w:tcPr>
          <w:p>
            <w:pPr>
              <w:pStyle w:val="TableParagraph"/>
              <w:spacing w:before="21"/>
              <w:ind w:right="68"/>
              <w:jc w:val="right"/>
              <w:rPr>
                <w:b/>
                <w:sz w:val="16"/>
              </w:rPr>
            </w:pPr>
            <w:r>
              <w:rPr>
                <w:b/>
                <w:spacing w:val="-2"/>
                <w:sz w:val="16"/>
              </w:rPr>
              <w:t>-28.323,35</w:t>
            </w:r>
          </w:p>
        </w:tc>
        <w:tc>
          <w:tcPr>
            <w:tcW w:w="272" w:type="dxa"/>
          </w:tcPr>
          <w:p>
            <w:pPr>
              <w:pStyle w:val="TableParagraph"/>
              <w:rPr>
                <w:sz w:val="16"/>
              </w:rPr>
            </w:pPr>
          </w:p>
        </w:tc>
        <w:tc>
          <w:tcPr>
            <w:tcW w:w="1207" w:type="dxa"/>
            <w:tcBorders>
              <w:top w:val="single" w:sz="8" w:space="0" w:color="000000"/>
              <w:bottom w:val="double" w:sz="6" w:space="0" w:color="000000"/>
            </w:tcBorders>
          </w:tcPr>
          <w:p>
            <w:pPr>
              <w:pStyle w:val="TableParagraph"/>
              <w:spacing w:before="21"/>
              <w:ind w:right="67"/>
              <w:jc w:val="right"/>
              <w:rPr>
                <w:b/>
                <w:sz w:val="16"/>
              </w:rPr>
            </w:pPr>
            <w:r>
              <w:rPr>
                <w:b/>
                <w:spacing w:val="-2"/>
                <w:sz w:val="16"/>
              </w:rPr>
              <w:t>-6.739,68</w:t>
            </w:r>
          </w:p>
        </w:tc>
        <w:tc>
          <w:tcPr>
            <w:tcW w:w="273" w:type="dxa"/>
          </w:tcPr>
          <w:p>
            <w:pPr>
              <w:pStyle w:val="TableParagraph"/>
              <w:rPr>
                <w:sz w:val="16"/>
              </w:rPr>
            </w:pPr>
          </w:p>
        </w:tc>
        <w:tc>
          <w:tcPr>
            <w:tcW w:w="1207" w:type="dxa"/>
            <w:tcBorders>
              <w:top w:val="single" w:sz="8" w:space="0" w:color="000000"/>
              <w:bottom w:val="double" w:sz="6" w:space="0" w:color="000000"/>
            </w:tcBorders>
          </w:tcPr>
          <w:p>
            <w:pPr>
              <w:pStyle w:val="TableParagraph"/>
              <w:spacing w:before="21"/>
              <w:ind w:right="66"/>
              <w:jc w:val="right"/>
              <w:rPr>
                <w:b/>
                <w:sz w:val="16"/>
              </w:rPr>
            </w:pPr>
            <w:r>
              <w:rPr>
                <w:b/>
                <w:spacing w:val="-2"/>
                <w:sz w:val="16"/>
              </w:rPr>
              <w:t>-37.935,18</w:t>
            </w:r>
          </w:p>
        </w:tc>
      </w:tr>
      <w:tr>
        <w:trPr>
          <w:trHeight w:val="230" w:hRule="atLeast"/>
        </w:trPr>
        <w:tc>
          <w:tcPr>
            <w:tcW w:w="2613" w:type="dxa"/>
          </w:tcPr>
          <w:p>
            <w:pPr>
              <w:pStyle w:val="TableParagraph"/>
              <w:rPr>
                <w:sz w:val="16"/>
              </w:rPr>
            </w:pPr>
          </w:p>
        </w:tc>
        <w:tc>
          <w:tcPr>
            <w:tcW w:w="1348" w:type="dxa"/>
            <w:tcBorders>
              <w:top w:val="double" w:sz="6" w:space="0" w:color="000000"/>
            </w:tcBorders>
          </w:tcPr>
          <w:p>
            <w:pPr>
              <w:pStyle w:val="TableParagraph"/>
              <w:rPr>
                <w:sz w:val="16"/>
              </w:rPr>
            </w:pPr>
          </w:p>
        </w:tc>
        <w:tc>
          <w:tcPr>
            <w:tcW w:w="272" w:type="dxa"/>
          </w:tcPr>
          <w:p>
            <w:pPr>
              <w:pStyle w:val="TableParagraph"/>
              <w:rPr>
                <w:sz w:val="16"/>
              </w:rPr>
            </w:pPr>
          </w:p>
        </w:tc>
        <w:tc>
          <w:tcPr>
            <w:tcW w:w="1207" w:type="dxa"/>
            <w:tcBorders>
              <w:top w:val="double" w:sz="6" w:space="0" w:color="000000"/>
            </w:tcBorders>
          </w:tcPr>
          <w:p>
            <w:pPr>
              <w:pStyle w:val="TableParagraph"/>
              <w:rPr>
                <w:sz w:val="16"/>
              </w:rPr>
            </w:pPr>
          </w:p>
        </w:tc>
        <w:tc>
          <w:tcPr>
            <w:tcW w:w="272" w:type="dxa"/>
          </w:tcPr>
          <w:p>
            <w:pPr>
              <w:pStyle w:val="TableParagraph"/>
              <w:rPr>
                <w:sz w:val="16"/>
              </w:rPr>
            </w:pPr>
          </w:p>
        </w:tc>
        <w:tc>
          <w:tcPr>
            <w:tcW w:w="1207" w:type="dxa"/>
            <w:tcBorders>
              <w:top w:val="double" w:sz="6" w:space="0" w:color="000000"/>
            </w:tcBorders>
          </w:tcPr>
          <w:p>
            <w:pPr>
              <w:pStyle w:val="TableParagraph"/>
              <w:rPr>
                <w:sz w:val="16"/>
              </w:rPr>
            </w:pPr>
          </w:p>
        </w:tc>
        <w:tc>
          <w:tcPr>
            <w:tcW w:w="273" w:type="dxa"/>
          </w:tcPr>
          <w:p>
            <w:pPr>
              <w:pStyle w:val="TableParagraph"/>
              <w:rPr>
                <w:sz w:val="16"/>
              </w:rPr>
            </w:pPr>
          </w:p>
        </w:tc>
        <w:tc>
          <w:tcPr>
            <w:tcW w:w="1207" w:type="dxa"/>
            <w:tcBorders>
              <w:top w:val="double" w:sz="6" w:space="0" w:color="000000"/>
            </w:tcBorders>
          </w:tcPr>
          <w:p>
            <w:pPr>
              <w:pStyle w:val="TableParagraph"/>
              <w:spacing w:before="21"/>
              <w:ind w:right="66"/>
              <w:jc w:val="right"/>
              <w:rPr>
                <w:sz w:val="16"/>
              </w:rPr>
            </w:pPr>
            <w:r>
              <w:rPr>
                <w:spacing w:val="-4"/>
                <w:sz w:val="16"/>
              </w:rPr>
              <w:t>0,00</w:t>
            </w:r>
          </w:p>
        </w:tc>
      </w:tr>
      <w:tr>
        <w:trPr>
          <w:trHeight w:val="223" w:hRule="atLeast"/>
        </w:trPr>
        <w:tc>
          <w:tcPr>
            <w:tcW w:w="2613" w:type="dxa"/>
          </w:tcPr>
          <w:p>
            <w:pPr>
              <w:pStyle w:val="TableParagraph"/>
              <w:spacing w:before="18"/>
              <w:ind w:left="50"/>
              <w:rPr>
                <w:sz w:val="16"/>
              </w:rPr>
            </w:pPr>
            <w:r>
              <w:rPr>
                <w:sz w:val="16"/>
              </w:rPr>
              <w:t>Valor</w:t>
            </w:r>
            <w:r>
              <w:rPr>
                <w:spacing w:val="-5"/>
                <w:sz w:val="16"/>
              </w:rPr>
              <w:t> </w:t>
            </w:r>
            <w:r>
              <w:rPr>
                <w:sz w:val="16"/>
              </w:rPr>
              <w:t>Neto</w:t>
            </w:r>
            <w:r>
              <w:rPr>
                <w:spacing w:val="-3"/>
                <w:sz w:val="16"/>
              </w:rPr>
              <w:t> </w:t>
            </w:r>
            <w:r>
              <w:rPr>
                <w:sz w:val="16"/>
              </w:rPr>
              <w:t>Contable</w:t>
            </w:r>
            <w:r>
              <w:rPr>
                <w:spacing w:val="-4"/>
                <w:sz w:val="16"/>
              </w:rPr>
              <w:t> </w:t>
            </w:r>
            <w:r>
              <w:rPr>
                <w:sz w:val="16"/>
              </w:rPr>
              <w:t>al</w:t>
            </w:r>
            <w:r>
              <w:rPr>
                <w:spacing w:val="-4"/>
                <w:sz w:val="16"/>
              </w:rPr>
              <w:t> </w:t>
            </w:r>
            <w:r>
              <w:rPr>
                <w:spacing w:val="-2"/>
                <w:sz w:val="16"/>
              </w:rPr>
              <w:t>31.12.24</w:t>
            </w:r>
          </w:p>
        </w:tc>
        <w:tc>
          <w:tcPr>
            <w:tcW w:w="1348" w:type="dxa"/>
            <w:tcBorders>
              <w:bottom w:val="double" w:sz="6" w:space="0" w:color="000000"/>
            </w:tcBorders>
          </w:tcPr>
          <w:p>
            <w:pPr>
              <w:pStyle w:val="TableParagraph"/>
              <w:spacing w:before="18"/>
              <w:ind w:right="68"/>
              <w:jc w:val="right"/>
              <w:rPr>
                <w:sz w:val="16"/>
              </w:rPr>
            </w:pPr>
            <w:r>
              <w:rPr>
                <w:spacing w:val="-2"/>
                <w:sz w:val="16"/>
              </w:rPr>
              <w:t>3.798,65</w:t>
            </w:r>
          </w:p>
        </w:tc>
        <w:tc>
          <w:tcPr>
            <w:tcW w:w="272" w:type="dxa"/>
          </w:tcPr>
          <w:p>
            <w:pPr>
              <w:pStyle w:val="TableParagraph"/>
              <w:rPr>
                <w:sz w:val="16"/>
              </w:rPr>
            </w:pPr>
          </w:p>
        </w:tc>
        <w:tc>
          <w:tcPr>
            <w:tcW w:w="1207" w:type="dxa"/>
            <w:tcBorders>
              <w:bottom w:val="double" w:sz="6" w:space="0" w:color="000000"/>
            </w:tcBorders>
          </w:tcPr>
          <w:p>
            <w:pPr>
              <w:pStyle w:val="TableParagraph"/>
              <w:spacing w:before="18"/>
              <w:ind w:right="68"/>
              <w:jc w:val="right"/>
              <w:rPr>
                <w:sz w:val="16"/>
              </w:rPr>
            </w:pPr>
            <w:r>
              <w:rPr>
                <w:spacing w:val="-2"/>
                <w:sz w:val="16"/>
              </w:rPr>
              <w:t>1.719,29</w:t>
            </w:r>
          </w:p>
        </w:tc>
        <w:tc>
          <w:tcPr>
            <w:tcW w:w="272" w:type="dxa"/>
          </w:tcPr>
          <w:p>
            <w:pPr>
              <w:pStyle w:val="TableParagraph"/>
              <w:rPr>
                <w:sz w:val="16"/>
              </w:rPr>
            </w:pPr>
          </w:p>
        </w:tc>
        <w:tc>
          <w:tcPr>
            <w:tcW w:w="1207" w:type="dxa"/>
            <w:tcBorders>
              <w:bottom w:val="double" w:sz="6" w:space="0" w:color="000000"/>
            </w:tcBorders>
          </w:tcPr>
          <w:p>
            <w:pPr>
              <w:pStyle w:val="TableParagraph"/>
              <w:spacing w:before="18"/>
              <w:ind w:right="67"/>
              <w:jc w:val="right"/>
              <w:rPr>
                <w:sz w:val="16"/>
              </w:rPr>
            </w:pPr>
            <w:r>
              <w:rPr>
                <w:spacing w:val="-2"/>
                <w:sz w:val="16"/>
              </w:rPr>
              <w:t>2.280,21</w:t>
            </w:r>
          </w:p>
        </w:tc>
        <w:tc>
          <w:tcPr>
            <w:tcW w:w="273" w:type="dxa"/>
          </w:tcPr>
          <w:p>
            <w:pPr>
              <w:pStyle w:val="TableParagraph"/>
              <w:rPr>
                <w:sz w:val="16"/>
              </w:rPr>
            </w:pPr>
          </w:p>
        </w:tc>
        <w:tc>
          <w:tcPr>
            <w:tcW w:w="1207" w:type="dxa"/>
            <w:tcBorders>
              <w:bottom w:val="double" w:sz="6" w:space="0" w:color="000000"/>
            </w:tcBorders>
          </w:tcPr>
          <w:p>
            <w:pPr>
              <w:pStyle w:val="TableParagraph"/>
              <w:spacing w:before="18"/>
              <w:ind w:right="66"/>
              <w:jc w:val="right"/>
              <w:rPr>
                <w:sz w:val="16"/>
              </w:rPr>
            </w:pPr>
            <w:r>
              <w:rPr>
                <w:spacing w:val="-2"/>
                <w:sz w:val="16"/>
              </w:rPr>
              <w:t>7.798,15</w:t>
            </w:r>
          </w:p>
        </w:tc>
      </w:tr>
      <w:tr>
        <w:trPr>
          <w:trHeight w:val="228" w:hRule="atLeast"/>
        </w:trPr>
        <w:tc>
          <w:tcPr>
            <w:tcW w:w="2613" w:type="dxa"/>
          </w:tcPr>
          <w:p>
            <w:pPr>
              <w:pStyle w:val="TableParagraph"/>
              <w:spacing w:before="21"/>
              <w:ind w:left="50"/>
              <w:rPr>
                <w:sz w:val="16"/>
              </w:rPr>
            </w:pPr>
            <w:r>
              <w:rPr>
                <w:sz w:val="16"/>
              </w:rPr>
              <w:t>Valor</w:t>
            </w:r>
            <w:r>
              <w:rPr>
                <w:spacing w:val="-5"/>
                <w:sz w:val="16"/>
              </w:rPr>
              <w:t> </w:t>
            </w:r>
            <w:r>
              <w:rPr>
                <w:sz w:val="16"/>
              </w:rPr>
              <w:t>Neto</w:t>
            </w:r>
            <w:r>
              <w:rPr>
                <w:spacing w:val="-3"/>
                <w:sz w:val="16"/>
              </w:rPr>
              <w:t> </w:t>
            </w:r>
            <w:r>
              <w:rPr>
                <w:sz w:val="16"/>
              </w:rPr>
              <w:t>Contable</w:t>
            </w:r>
            <w:r>
              <w:rPr>
                <w:spacing w:val="-4"/>
                <w:sz w:val="16"/>
              </w:rPr>
              <w:t> </w:t>
            </w:r>
            <w:r>
              <w:rPr>
                <w:sz w:val="16"/>
              </w:rPr>
              <w:t>al</w:t>
            </w:r>
            <w:r>
              <w:rPr>
                <w:spacing w:val="-4"/>
                <w:sz w:val="16"/>
              </w:rPr>
              <w:t> </w:t>
            </w:r>
            <w:r>
              <w:rPr>
                <w:spacing w:val="-2"/>
                <w:sz w:val="16"/>
              </w:rPr>
              <w:t>31.12.25</w:t>
            </w:r>
          </w:p>
        </w:tc>
        <w:tc>
          <w:tcPr>
            <w:tcW w:w="1348" w:type="dxa"/>
            <w:tcBorders>
              <w:top w:val="double" w:sz="6" w:space="0" w:color="000000"/>
              <w:bottom w:val="double" w:sz="6" w:space="0" w:color="000000"/>
            </w:tcBorders>
          </w:tcPr>
          <w:p>
            <w:pPr>
              <w:pStyle w:val="TableParagraph"/>
              <w:spacing w:before="21"/>
              <w:ind w:right="68"/>
              <w:jc w:val="right"/>
              <w:rPr>
                <w:sz w:val="16"/>
              </w:rPr>
            </w:pPr>
            <w:r>
              <w:rPr>
                <w:spacing w:val="-2"/>
                <w:sz w:val="16"/>
              </w:rPr>
              <w:t>2.686,85</w:t>
            </w:r>
          </w:p>
        </w:tc>
        <w:tc>
          <w:tcPr>
            <w:tcW w:w="272" w:type="dxa"/>
          </w:tcPr>
          <w:p>
            <w:pPr>
              <w:pStyle w:val="TableParagraph"/>
              <w:rPr>
                <w:sz w:val="16"/>
              </w:rPr>
            </w:pPr>
          </w:p>
        </w:tc>
        <w:tc>
          <w:tcPr>
            <w:tcW w:w="1207" w:type="dxa"/>
            <w:tcBorders>
              <w:top w:val="double" w:sz="6" w:space="0" w:color="000000"/>
              <w:bottom w:val="double" w:sz="6" w:space="0" w:color="000000"/>
            </w:tcBorders>
          </w:tcPr>
          <w:p>
            <w:pPr>
              <w:pStyle w:val="TableParagraph"/>
              <w:spacing w:before="21"/>
              <w:ind w:right="68"/>
              <w:jc w:val="right"/>
              <w:rPr>
                <w:sz w:val="16"/>
              </w:rPr>
            </w:pPr>
            <w:r>
              <w:rPr>
                <w:spacing w:val="-2"/>
                <w:sz w:val="16"/>
              </w:rPr>
              <w:t>1.398,24</w:t>
            </w:r>
          </w:p>
        </w:tc>
        <w:tc>
          <w:tcPr>
            <w:tcW w:w="272" w:type="dxa"/>
          </w:tcPr>
          <w:p>
            <w:pPr>
              <w:pStyle w:val="TableParagraph"/>
              <w:rPr>
                <w:sz w:val="16"/>
              </w:rPr>
            </w:pPr>
          </w:p>
        </w:tc>
        <w:tc>
          <w:tcPr>
            <w:tcW w:w="1207" w:type="dxa"/>
            <w:tcBorders>
              <w:top w:val="double" w:sz="6" w:space="0" w:color="000000"/>
              <w:bottom w:val="double" w:sz="6" w:space="0" w:color="000000"/>
            </w:tcBorders>
          </w:tcPr>
          <w:p>
            <w:pPr>
              <w:pStyle w:val="TableParagraph"/>
              <w:spacing w:before="21"/>
              <w:ind w:right="67"/>
              <w:jc w:val="right"/>
              <w:rPr>
                <w:sz w:val="16"/>
              </w:rPr>
            </w:pPr>
            <w:r>
              <w:rPr>
                <w:spacing w:val="-2"/>
                <w:sz w:val="16"/>
              </w:rPr>
              <w:t>2.559,76</w:t>
            </w:r>
          </w:p>
        </w:tc>
        <w:tc>
          <w:tcPr>
            <w:tcW w:w="273" w:type="dxa"/>
          </w:tcPr>
          <w:p>
            <w:pPr>
              <w:pStyle w:val="TableParagraph"/>
              <w:rPr>
                <w:sz w:val="16"/>
              </w:rPr>
            </w:pPr>
          </w:p>
        </w:tc>
        <w:tc>
          <w:tcPr>
            <w:tcW w:w="1207" w:type="dxa"/>
            <w:tcBorders>
              <w:top w:val="double" w:sz="6" w:space="0" w:color="000000"/>
              <w:bottom w:val="double" w:sz="6" w:space="0" w:color="000000"/>
            </w:tcBorders>
          </w:tcPr>
          <w:p>
            <w:pPr>
              <w:pStyle w:val="TableParagraph"/>
              <w:spacing w:before="21"/>
              <w:ind w:right="66"/>
              <w:jc w:val="right"/>
              <w:rPr>
                <w:sz w:val="16"/>
              </w:rPr>
            </w:pPr>
            <w:r>
              <w:rPr>
                <w:spacing w:val="-2"/>
                <w:sz w:val="16"/>
              </w:rPr>
              <w:t>6.644,85</w:t>
            </w:r>
          </w:p>
        </w:tc>
      </w:tr>
    </w:tbl>
    <w:p>
      <w:pPr>
        <w:pStyle w:val="BodyText"/>
        <w:spacing w:before="13"/>
        <w:rPr>
          <w:b/>
        </w:rPr>
      </w:pPr>
    </w:p>
    <w:p>
      <w:pPr>
        <w:pStyle w:val="BodyText"/>
        <w:spacing w:before="1"/>
        <w:ind w:left="570"/>
      </w:pPr>
      <w:r>
        <w:rPr/>
        <w:t>El</w:t>
      </w:r>
      <w:r>
        <w:rPr>
          <w:spacing w:val="-6"/>
        </w:rPr>
        <w:t> </w:t>
      </w:r>
      <w:r>
        <w:rPr/>
        <w:t>valor</w:t>
      </w:r>
      <w:r>
        <w:rPr>
          <w:spacing w:val="-6"/>
        </w:rPr>
        <w:t> </w:t>
      </w:r>
      <w:r>
        <w:rPr/>
        <w:t>bruto</w:t>
      </w:r>
      <w:r>
        <w:rPr>
          <w:spacing w:val="-6"/>
        </w:rPr>
        <w:t> </w:t>
      </w:r>
      <w:r>
        <w:rPr/>
        <w:t>de</w:t>
      </w:r>
      <w:r>
        <w:rPr>
          <w:spacing w:val="-6"/>
        </w:rPr>
        <w:t> </w:t>
      </w:r>
      <w:r>
        <w:rPr/>
        <w:t>los</w:t>
      </w:r>
      <w:r>
        <w:rPr>
          <w:spacing w:val="-6"/>
        </w:rPr>
        <w:t> </w:t>
      </w:r>
      <w:r>
        <w:rPr/>
        <w:t>elementos</w:t>
      </w:r>
      <w:r>
        <w:rPr>
          <w:spacing w:val="-5"/>
        </w:rPr>
        <w:t> </w:t>
      </w:r>
      <w:r>
        <w:rPr/>
        <w:t>en</w:t>
      </w:r>
      <w:r>
        <w:rPr>
          <w:spacing w:val="-6"/>
        </w:rPr>
        <w:t> </w:t>
      </w:r>
      <w:r>
        <w:rPr/>
        <w:t>uso</w:t>
      </w:r>
      <w:r>
        <w:rPr>
          <w:spacing w:val="-7"/>
        </w:rPr>
        <w:t> </w:t>
      </w:r>
      <w:r>
        <w:rPr/>
        <w:t>que</w:t>
      </w:r>
      <w:r>
        <w:rPr>
          <w:spacing w:val="-6"/>
        </w:rPr>
        <w:t> </w:t>
      </w:r>
      <w:r>
        <w:rPr/>
        <w:t>se</w:t>
      </w:r>
      <w:r>
        <w:rPr>
          <w:spacing w:val="-6"/>
        </w:rPr>
        <w:t> </w:t>
      </w:r>
      <w:r>
        <w:rPr/>
        <w:t>encuentran</w:t>
      </w:r>
      <w:r>
        <w:rPr>
          <w:spacing w:val="-5"/>
        </w:rPr>
        <w:t> </w:t>
      </w:r>
      <w:r>
        <w:rPr/>
        <w:t>totalmente</w:t>
      </w:r>
      <w:r>
        <w:rPr>
          <w:spacing w:val="-6"/>
        </w:rPr>
        <w:t> </w:t>
      </w:r>
      <w:r>
        <w:rPr/>
        <w:t>amortizados</w:t>
      </w:r>
      <w:r>
        <w:rPr>
          <w:spacing w:val="-5"/>
        </w:rPr>
        <w:t> </w:t>
      </w:r>
      <w:r>
        <w:rPr/>
        <w:t>es</w:t>
      </w:r>
      <w:r>
        <w:rPr>
          <w:spacing w:val="-6"/>
        </w:rPr>
        <w:t> </w:t>
      </w:r>
      <w:r>
        <w:rPr/>
        <w:t>el</w:t>
      </w:r>
      <w:r>
        <w:rPr>
          <w:spacing w:val="-6"/>
        </w:rPr>
        <w:t> </w:t>
      </w:r>
      <w:r>
        <w:rPr>
          <w:spacing w:val="-2"/>
        </w:rPr>
        <w:t>siguiente:</w:t>
      </w:r>
    </w:p>
    <w:p>
      <w:pPr>
        <w:pStyle w:val="BodyText"/>
        <w:spacing w:before="96"/>
        <w:rPr>
          <w:sz w:val="20"/>
        </w:rPr>
      </w:pPr>
    </w:p>
    <w:tbl>
      <w:tblPr>
        <w:tblW w:w="0" w:type="auto"/>
        <w:jc w:val="left"/>
        <w:tblInd w:w="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3"/>
        <w:gridCol w:w="2656"/>
        <w:gridCol w:w="289"/>
        <w:gridCol w:w="1363"/>
        <w:gridCol w:w="289"/>
        <w:gridCol w:w="1357"/>
      </w:tblGrid>
      <w:tr>
        <w:trPr>
          <w:trHeight w:val="242" w:hRule="atLeast"/>
        </w:trPr>
        <w:tc>
          <w:tcPr>
            <w:tcW w:w="2183" w:type="dxa"/>
            <w:vMerge w:val="restart"/>
          </w:tcPr>
          <w:p>
            <w:pPr>
              <w:pStyle w:val="TableParagraph"/>
              <w:rPr>
                <w:sz w:val="18"/>
              </w:rPr>
            </w:pPr>
          </w:p>
        </w:tc>
        <w:tc>
          <w:tcPr>
            <w:tcW w:w="2656" w:type="dxa"/>
            <w:tcBorders>
              <w:bottom w:val="single" w:sz="8" w:space="0" w:color="000000"/>
            </w:tcBorders>
          </w:tcPr>
          <w:p>
            <w:pPr>
              <w:pStyle w:val="TableParagraph"/>
              <w:spacing w:line="177" w:lineRule="exact"/>
              <w:ind w:left="70"/>
              <w:rPr>
                <w:b/>
                <w:sz w:val="16"/>
              </w:rPr>
            </w:pPr>
            <w:r>
              <w:rPr>
                <w:b/>
                <w:spacing w:val="-2"/>
                <w:sz w:val="16"/>
              </w:rPr>
              <w:t>Cuenta</w:t>
            </w:r>
          </w:p>
        </w:tc>
        <w:tc>
          <w:tcPr>
            <w:tcW w:w="289" w:type="dxa"/>
          </w:tcPr>
          <w:p>
            <w:pPr>
              <w:pStyle w:val="TableParagraph"/>
              <w:rPr>
                <w:sz w:val="16"/>
              </w:rPr>
            </w:pPr>
          </w:p>
        </w:tc>
        <w:tc>
          <w:tcPr>
            <w:tcW w:w="1363" w:type="dxa"/>
            <w:tcBorders>
              <w:bottom w:val="single" w:sz="8" w:space="0" w:color="000000"/>
            </w:tcBorders>
          </w:tcPr>
          <w:p>
            <w:pPr>
              <w:pStyle w:val="TableParagraph"/>
              <w:spacing w:line="177" w:lineRule="exact"/>
              <w:ind w:left="9"/>
              <w:jc w:val="center"/>
              <w:rPr>
                <w:b/>
                <w:sz w:val="16"/>
              </w:rPr>
            </w:pPr>
            <w:r>
              <w:rPr>
                <w:b/>
                <w:spacing w:val="-4"/>
                <w:sz w:val="16"/>
              </w:rPr>
              <w:t>2025</w:t>
            </w:r>
          </w:p>
        </w:tc>
        <w:tc>
          <w:tcPr>
            <w:tcW w:w="289" w:type="dxa"/>
          </w:tcPr>
          <w:p>
            <w:pPr>
              <w:pStyle w:val="TableParagraph"/>
              <w:rPr>
                <w:sz w:val="16"/>
              </w:rPr>
            </w:pPr>
          </w:p>
        </w:tc>
        <w:tc>
          <w:tcPr>
            <w:tcW w:w="1357" w:type="dxa"/>
            <w:tcBorders>
              <w:bottom w:val="single" w:sz="8" w:space="0" w:color="000000"/>
            </w:tcBorders>
          </w:tcPr>
          <w:p>
            <w:pPr>
              <w:pStyle w:val="TableParagraph"/>
              <w:spacing w:line="177" w:lineRule="exact"/>
              <w:ind w:left="7"/>
              <w:jc w:val="center"/>
              <w:rPr>
                <w:b/>
                <w:sz w:val="16"/>
              </w:rPr>
            </w:pPr>
            <w:r>
              <w:rPr>
                <w:b/>
                <w:spacing w:val="-4"/>
                <w:sz w:val="16"/>
              </w:rPr>
              <w:t>2024</w:t>
            </w:r>
          </w:p>
        </w:tc>
      </w:tr>
      <w:tr>
        <w:trPr>
          <w:trHeight w:val="309" w:hRule="atLeast"/>
        </w:trPr>
        <w:tc>
          <w:tcPr>
            <w:tcW w:w="2183" w:type="dxa"/>
            <w:vMerge/>
            <w:tcBorders>
              <w:top w:val="nil"/>
            </w:tcBorders>
          </w:tcPr>
          <w:p>
            <w:pPr>
              <w:rPr>
                <w:sz w:val="2"/>
                <w:szCs w:val="2"/>
              </w:rPr>
            </w:pPr>
          </w:p>
        </w:tc>
        <w:tc>
          <w:tcPr>
            <w:tcW w:w="2656" w:type="dxa"/>
            <w:tcBorders>
              <w:top w:val="single" w:sz="8" w:space="0" w:color="000000"/>
            </w:tcBorders>
          </w:tcPr>
          <w:p>
            <w:pPr>
              <w:pStyle w:val="TableParagraph"/>
              <w:spacing w:before="58"/>
              <w:ind w:left="70"/>
              <w:rPr>
                <w:sz w:val="16"/>
              </w:rPr>
            </w:pPr>
            <w:r>
              <w:rPr>
                <w:spacing w:val="-2"/>
                <w:sz w:val="16"/>
              </w:rPr>
              <w:t>Mobiliario</w:t>
            </w:r>
          </w:p>
        </w:tc>
        <w:tc>
          <w:tcPr>
            <w:tcW w:w="289" w:type="dxa"/>
          </w:tcPr>
          <w:p>
            <w:pPr>
              <w:pStyle w:val="TableParagraph"/>
              <w:rPr>
                <w:sz w:val="18"/>
              </w:rPr>
            </w:pPr>
          </w:p>
        </w:tc>
        <w:tc>
          <w:tcPr>
            <w:tcW w:w="1363" w:type="dxa"/>
            <w:tcBorders>
              <w:top w:val="single" w:sz="8" w:space="0" w:color="000000"/>
            </w:tcBorders>
          </w:tcPr>
          <w:p>
            <w:pPr>
              <w:pStyle w:val="TableParagraph"/>
              <w:spacing w:before="58"/>
              <w:ind w:right="67"/>
              <w:jc w:val="right"/>
              <w:rPr>
                <w:sz w:val="16"/>
              </w:rPr>
            </w:pPr>
            <w:r>
              <w:rPr>
                <w:spacing w:val="-2"/>
                <w:sz w:val="16"/>
              </w:rPr>
              <w:t>27.153,13</w:t>
            </w:r>
          </w:p>
        </w:tc>
        <w:tc>
          <w:tcPr>
            <w:tcW w:w="289" w:type="dxa"/>
          </w:tcPr>
          <w:p>
            <w:pPr>
              <w:pStyle w:val="TableParagraph"/>
              <w:rPr>
                <w:sz w:val="18"/>
              </w:rPr>
            </w:pPr>
          </w:p>
        </w:tc>
        <w:tc>
          <w:tcPr>
            <w:tcW w:w="1357" w:type="dxa"/>
            <w:tcBorders>
              <w:top w:val="single" w:sz="8" w:space="0" w:color="000000"/>
            </w:tcBorders>
          </w:tcPr>
          <w:p>
            <w:pPr>
              <w:pStyle w:val="TableParagraph"/>
              <w:spacing w:before="58"/>
              <w:ind w:right="67"/>
              <w:jc w:val="right"/>
              <w:rPr>
                <w:sz w:val="16"/>
              </w:rPr>
            </w:pPr>
            <w:r>
              <w:rPr>
                <w:spacing w:val="-2"/>
                <w:sz w:val="16"/>
              </w:rPr>
              <w:t>27.153,13</w:t>
            </w:r>
          </w:p>
        </w:tc>
      </w:tr>
      <w:tr>
        <w:trPr>
          <w:trHeight w:val="313" w:hRule="atLeast"/>
        </w:trPr>
        <w:tc>
          <w:tcPr>
            <w:tcW w:w="2183" w:type="dxa"/>
            <w:vMerge/>
            <w:tcBorders>
              <w:top w:val="nil"/>
            </w:tcBorders>
          </w:tcPr>
          <w:p>
            <w:pPr>
              <w:rPr>
                <w:sz w:val="2"/>
                <w:szCs w:val="2"/>
              </w:rPr>
            </w:pPr>
          </w:p>
        </w:tc>
        <w:tc>
          <w:tcPr>
            <w:tcW w:w="2656" w:type="dxa"/>
          </w:tcPr>
          <w:p>
            <w:pPr>
              <w:pStyle w:val="TableParagraph"/>
              <w:spacing w:before="60"/>
              <w:ind w:left="70"/>
              <w:rPr>
                <w:sz w:val="16"/>
              </w:rPr>
            </w:pPr>
            <w:r>
              <w:rPr>
                <w:sz w:val="16"/>
              </w:rPr>
              <w:t>Equipos</w:t>
            </w:r>
            <w:r>
              <w:rPr>
                <w:spacing w:val="-5"/>
                <w:sz w:val="16"/>
              </w:rPr>
              <w:t> </w:t>
            </w:r>
            <w:r>
              <w:rPr>
                <w:sz w:val="16"/>
              </w:rPr>
              <w:t>para</w:t>
            </w:r>
            <w:r>
              <w:rPr>
                <w:spacing w:val="-5"/>
                <w:sz w:val="16"/>
              </w:rPr>
              <w:t> </w:t>
            </w:r>
            <w:r>
              <w:rPr>
                <w:sz w:val="16"/>
              </w:rPr>
              <w:t>procesos</w:t>
            </w:r>
            <w:r>
              <w:rPr>
                <w:spacing w:val="-5"/>
                <w:sz w:val="16"/>
              </w:rPr>
              <w:t> </w:t>
            </w:r>
            <w:r>
              <w:rPr>
                <w:sz w:val="16"/>
              </w:rPr>
              <w:t>de</w:t>
            </w:r>
            <w:r>
              <w:rPr>
                <w:spacing w:val="-5"/>
                <w:sz w:val="16"/>
              </w:rPr>
              <w:t> </w:t>
            </w:r>
            <w:r>
              <w:rPr>
                <w:spacing w:val="-2"/>
                <w:sz w:val="16"/>
              </w:rPr>
              <w:t>información</w:t>
            </w:r>
          </w:p>
        </w:tc>
        <w:tc>
          <w:tcPr>
            <w:tcW w:w="289" w:type="dxa"/>
          </w:tcPr>
          <w:p>
            <w:pPr>
              <w:pStyle w:val="TableParagraph"/>
              <w:rPr>
                <w:sz w:val="18"/>
              </w:rPr>
            </w:pPr>
          </w:p>
        </w:tc>
        <w:tc>
          <w:tcPr>
            <w:tcW w:w="1363" w:type="dxa"/>
            <w:tcBorders>
              <w:bottom w:val="single" w:sz="8" w:space="0" w:color="000000"/>
            </w:tcBorders>
          </w:tcPr>
          <w:p>
            <w:pPr>
              <w:pStyle w:val="TableParagraph"/>
              <w:spacing w:before="60"/>
              <w:ind w:right="67"/>
              <w:jc w:val="right"/>
              <w:rPr>
                <w:sz w:val="16"/>
              </w:rPr>
            </w:pPr>
            <w:r>
              <w:rPr>
                <w:spacing w:val="-2"/>
                <w:sz w:val="16"/>
              </w:rPr>
              <w:t>5.668,48</w:t>
            </w:r>
          </w:p>
        </w:tc>
        <w:tc>
          <w:tcPr>
            <w:tcW w:w="289" w:type="dxa"/>
          </w:tcPr>
          <w:p>
            <w:pPr>
              <w:pStyle w:val="TableParagraph"/>
              <w:rPr>
                <w:sz w:val="18"/>
              </w:rPr>
            </w:pPr>
          </w:p>
        </w:tc>
        <w:tc>
          <w:tcPr>
            <w:tcW w:w="1357" w:type="dxa"/>
            <w:tcBorders>
              <w:bottom w:val="single" w:sz="8" w:space="0" w:color="000000"/>
            </w:tcBorders>
          </w:tcPr>
          <w:p>
            <w:pPr>
              <w:pStyle w:val="TableParagraph"/>
              <w:spacing w:before="60"/>
              <w:ind w:right="67"/>
              <w:jc w:val="right"/>
              <w:rPr>
                <w:sz w:val="16"/>
              </w:rPr>
            </w:pPr>
            <w:r>
              <w:rPr>
                <w:spacing w:val="-2"/>
                <w:sz w:val="16"/>
              </w:rPr>
              <w:t>4.709,47</w:t>
            </w:r>
          </w:p>
        </w:tc>
      </w:tr>
      <w:tr>
        <w:trPr>
          <w:trHeight w:val="267" w:hRule="atLeast"/>
        </w:trPr>
        <w:tc>
          <w:tcPr>
            <w:tcW w:w="2183" w:type="dxa"/>
            <w:vMerge/>
            <w:tcBorders>
              <w:top w:val="nil"/>
            </w:tcBorders>
          </w:tcPr>
          <w:p>
            <w:pPr>
              <w:rPr>
                <w:sz w:val="2"/>
                <w:szCs w:val="2"/>
              </w:rPr>
            </w:pPr>
          </w:p>
        </w:tc>
        <w:tc>
          <w:tcPr>
            <w:tcW w:w="2656" w:type="dxa"/>
          </w:tcPr>
          <w:p>
            <w:pPr>
              <w:pStyle w:val="TableParagraph"/>
              <w:spacing w:before="41"/>
              <w:jc w:val="center"/>
              <w:rPr>
                <w:b/>
                <w:sz w:val="16"/>
              </w:rPr>
            </w:pPr>
            <w:r>
              <w:rPr>
                <w:b/>
                <w:spacing w:val="-2"/>
                <w:sz w:val="16"/>
              </w:rPr>
              <w:t>Total</w:t>
            </w:r>
          </w:p>
        </w:tc>
        <w:tc>
          <w:tcPr>
            <w:tcW w:w="289" w:type="dxa"/>
          </w:tcPr>
          <w:p>
            <w:pPr>
              <w:pStyle w:val="TableParagraph"/>
              <w:rPr>
                <w:sz w:val="18"/>
              </w:rPr>
            </w:pPr>
          </w:p>
        </w:tc>
        <w:tc>
          <w:tcPr>
            <w:tcW w:w="1363" w:type="dxa"/>
            <w:tcBorders>
              <w:top w:val="single" w:sz="8" w:space="0" w:color="000000"/>
              <w:bottom w:val="double" w:sz="6" w:space="0" w:color="000000"/>
            </w:tcBorders>
          </w:tcPr>
          <w:p>
            <w:pPr>
              <w:pStyle w:val="TableParagraph"/>
              <w:spacing w:before="41"/>
              <w:ind w:right="67"/>
              <w:jc w:val="right"/>
              <w:rPr>
                <w:b/>
                <w:sz w:val="16"/>
              </w:rPr>
            </w:pPr>
            <w:r>
              <w:rPr>
                <w:b/>
                <w:spacing w:val="-2"/>
                <w:sz w:val="16"/>
              </w:rPr>
              <w:t>32.821,61</w:t>
            </w:r>
          </w:p>
        </w:tc>
        <w:tc>
          <w:tcPr>
            <w:tcW w:w="289" w:type="dxa"/>
          </w:tcPr>
          <w:p>
            <w:pPr>
              <w:pStyle w:val="TableParagraph"/>
              <w:rPr>
                <w:sz w:val="18"/>
              </w:rPr>
            </w:pPr>
          </w:p>
        </w:tc>
        <w:tc>
          <w:tcPr>
            <w:tcW w:w="1357" w:type="dxa"/>
            <w:tcBorders>
              <w:top w:val="single" w:sz="8" w:space="0" w:color="000000"/>
              <w:bottom w:val="double" w:sz="6" w:space="0" w:color="000000"/>
            </w:tcBorders>
          </w:tcPr>
          <w:p>
            <w:pPr>
              <w:pStyle w:val="TableParagraph"/>
              <w:spacing w:before="41"/>
              <w:ind w:right="67"/>
              <w:jc w:val="right"/>
              <w:rPr>
                <w:b/>
                <w:sz w:val="16"/>
              </w:rPr>
            </w:pPr>
            <w:r>
              <w:rPr>
                <w:b/>
                <w:spacing w:val="-2"/>
                <w:sz w:val="16"/>
              </w:rPr>
              <w:t>31.862,60</w:t>
            </w:r>
          </w:p>
        </w:tc>
      </w:tr>
      <w:tr>
        <w:trPr>
          <w:trHeight w:val="681" w:hRule="atLeast"/>
        </w:trPr>
        <w:tc>
          <w:tcPr>
            <w:tcW w:w="2183" w:type="dxa"/>
          </w:tcPr>
          <w:p>
            <w:pPr>
              <w:pStyle w:val="TableParagraph"/>
              <w:spacing w:before="175"/>
              <w:rPr>
                <w:sz w:val="22"/>
              </w:rPr>
            </w:pPr>
          </w:p>
          <w:p>
            <w:pPr>
              <w:pStyle w:val="TableParagraph"/>
              <w:spacing w:line="233" w:lineRule="exact"/>
              <w:ind w:left="50" w:right="-29"/>
              <w:rPr>
                <w:b/>
                <w:sz w:val="22"/>
              </w:rPr>
            </w:pPr>
            <w:r>
              <w:rPr>
                <w:b/>
                <w:sz w:val="22"/>
              </w:rPr>
              <w:t>7)</w:t>
            </w:r>
            <w:r>
              <w:rPr>
                <w:b/>
                <w:spacing w:val="29"/>
                <w:sz w:val="22"/>
              </w:rPr>
              <w:t>  </w:t>
            </w:r>
            <w:r>
              <w:rPr>
                <w:b/>
                <w:sz w:val="22"/>
              </w:rPr>
              <w:t>Activos</w:t>
            </w:r>
            <w:r>
              <w:rPr>
                <w:b/>
                <w:spacing w:val="-2"/>
                <w:sz w:val="22"/>
              </w:rPr>
              <w:t> financieros</w:t>
            </w:r>
          </w:p>
        </w:tc>
        <w:tc>
          <w:tcPr>
            <w:tcW w:w="2656" w:type="dxa"/>
          </w:tcPr>
          <w:p>
            <w:pPr>
              <w:pStyle w:val="TableParagraph"/>
              <w:rPr>
                <w:sz w:val="18"/>
              </w:rPr>
            </w:pPr>
          </w:p>
        </w:tc>
        <w:tc>
          <w:tcPr>
            <w:tcW w:w="289" w:type="dxa"/>
          </w:tcPr>
          <w:p>
            <w:pPr>
              <w:pStyle w:val="TableParagraph"/>
              <w:rPr>
                <w:sz w:val="18"/>
              </w:rPr>
            </w:pPr>
          </w:p>
        </w:tc>
        <w:tc>
          <w:tcPr>
            <w:tcW w:w="1363" w:type="dxa"/>
            <w:tcBorders>
              <w:top w:val="double" w:sz="6" w:space="0" w:color="000000"/>
            </w:tcBorders>
          </w:tcPr>
          <w:p>
            <w:pPr>
              <w:pStyle w:val="TableParagraph"/>
              <w:rPr>
                <w:sz w:val="18"/>
              </w:rPr>
            </w:pPr>
          </w:p>
        </w:tc>
        <w:tc>
          <w:tcPr>
            <w:tcW w:w="289" w:type="dxa"/>
          </w:tcPr>
          <w:p>
            <w:pPr>
              <w:pStyle w:val="TableParagraph"/>
              <w:rPr>
                <w:sz w:val="18"/>
              </w:rPr>
            </w:pPr>
          </w:p>
        </w:tc>
        <w:tc>
          <w:tcPr>
            <w:tcW w:w="1357" w:type="dxa"/>
            <w:tcBorders>
              <w:top w:val="double" w:sz="6" w:space="0" w:color="000000"/>
            </w:tcBorders>
          </w:tcPr>
          <w:p>
            <w:pPr>
              <w:pStyle w:val="TableParagraph"/>
              <w:rPr>
                <w:sz w:val="18"/>
              </w:rPr>
            </w:pPr>
          </w:p>
        </w:tc>
      </w:tr>
    </w:tbl>
    <w:p>
      <w:pPr>
        <w:pStyle w:val="BodyText"/>
        <w:spacing w:before="14"/>
      </w:pPr>
    </w:p>
    <w:p>
      <w:pPr>
        <w:pStyle w:val="ListParagraph"/>
        <w:numPr>
          <w:ilvl w:val="1"/>
          <w:numId w:val="1"/>
        </w:numPr>
        <w:tabs>
          <w:tab w:pos="1417" w:val="left" w:leader="none"/>
        </w:tabs>
        <w:spacing w:line="240" w:lineRule="auto" w:before="0" w:after="0"/>
        <w:ind w:left="1417" w:right="0" w:hanging="282"/>
        <w:jc w:val="left"/>
        <w:rPr>
          <w:sz w:val="22"/>
        </w:rPr>
      </w:pPr>
      <w:r>
        <w:rPr>
          <w:spacing w:val="-2"/>
          <w:sz w:val="22"/>
          <w:u w:val="single"/>
        </w:rPr>
        <w:t>Activos</w:t>
      </w:r>
      <w:r>
        <w:rPr>
          <w:spacing w:val="-6"/>
          <w:sz w:val="22"/>
          <w:u w:val="single"/>
        </w:rPr>
        <w:t> </w:t>
      </w:r>
      <w:r>
        <w:rPr>
          <w:spacing w:val="-2"/>
          <w:sz w:val="22"/>
          <w:u w:val="single"/>
        </w:rPr>
        <w:t>financieros</w:t>
      </w:r>
      <w:r>
        <w:rPr>
          <w:spacing w:val="-8"/>
          <w:sz w:val="22"/>
          <w:u w:val="single"/>
        </w:rPr>
        <w:t> </w:t>
      </w:r>
      <w:r>
        <w:rPr>
          <w:spacing w:val="-2"/>
          <w:sz w:val="22"/>
          <w:u w:val="single"/>
        </w:rPr>
        <w:t>no</w:t>
      </w:r>
      <w:r>
        <w:rPr>
          <w:spacing w:val="-4"/>
          <w:sz w:val="22"/>
          <w:u w:val="single"/>
        </w:rPr>
        <w:t> </w:t>
      </w:r>
      <w:r>
        <w:rPr>
          <w:spacing w:val="-2"/>
          <w:sz w:val="22"/>
          <w:u w:val="single"/>
        </w:rPr>
        <w:t>corrientes</w:t>
      </w:r>
    </w:p>
    <w:p>
      <w:pPr>
        <w:pStyle w:val="BodyText"/>
      </w:pPr>
    </w:p>
    <w:p>
      <w:pPr>
        <w:pStyle w:val="BodyText"/>
        <w:spacing w:before="1"/>
        <w:ind w:left="570" w:right="794"/>
      </w:pPr>
      <w:r>
        <w:rPr/>
        <w:t>Al cierre del ejercicio 2025, la Sociedad no tenía Instrumentos Financieros a largo plazo. Tampoco los tenía al cierre del ejercicio 2024.</w:t>
      </w:r>
    </w:p>
    <w:p>
      <w:pPr>
        <w:pStyle w:val="ListParagraph"/>
        <w:numPr>
          <w:ilvl w:val="1"/>
          <w:numId w:val="1"/>
        </w:numPr>
        <w:tabs>
          <w:tab w:pos="1417" w:val="left" w:leader="none"/>
        </w:tabs>
        <w:spacing w:line="240" w:lineRule="auto" w:before="252" w:after="0"/>
        <w:ind w:left="1417" w:right="0" w:hanging="282"/>
        <w:jc w:val="left"/>
        <w:rPr>
          <w:sz w:val="22"/>
        </w:rPr>
      </w:pPr>
      <w:r>
        <w:rPr>
          <w:sz w:val="22"/>
          <w:u w:val="single"/>
        </w:rPr>
        <w:t>Activos</w:t>
      </w:r>
      <w:r>
        <w:rPr>
          <w:spacing w:val="-13"/>
          <w:sz w:val="22"/>
          <w:u w:val="single"/>
        </w:rPr>
        <w:t> </w:t>
      </w:r>
      <w:r>
        <w:rPr>
          <w:sz w:val="22"/>
          <w:u w:val="single"/>
        </w:rPr>
        <w:t>financieros</w:t>
      </w:r>
      <w:r>
        <w:rPr>
          <w:spacing w:val="-13"/>
          <w:sz w:val="22"/>
          <w:u w:val="single"/>
        </w:rPr>
        <w:t> </w:t>
      </w:r>
      <w:r>
        <w:rPr>
          <w:spacing w:val="-2"/>
          <w:sz w:val="22"/>
          <w:u w:val="single"/>
        </w:rPr>
        <w:t>corrientes:</w:t>
      </w:r>
    </w:p>
    <w:p>
      <w:pPr>
        <w:pStyle w:val="BodyText"/>
      </w:pPr>
    </w:p>
    <w:p>
      <w:pPr>
        <w:pStyle w:val="BodyText"/>
        <w:ind w:left="570" w:right="1139"/>
        <w:jc w:val="both"/>
      </w:pPr>
      <w:r>
        <w:rPr/>
        <w:t>El</w:t>
      </w:r>
      <w:r>
        <w:rPr>
          <w:spacing w:val="-3"/>
        </w:rPr>
        <w:t> </w:t>
      </w:r>
      <w:r>
        <w:rPr/>
        <w:t>valor</w:t>
      </w:r>
      <w:r>
        <w:rPr>
          <w:spacing w:val="-3"/>
        </w:rPr>
        <w:t> </w:t>
      </w:r>
      <w:r>
        <w:rPr/>
        <w:t>en</w:t>
      </w:r>
      <w:r>
        <w:rPr>
          <w:spacing w:val="-3"/>
        </w:rPr>
        <w:t> </w:t>
      </w:r>
      <w:r>
        <w:rPr/>
        <w:t>libros</w:t>
      </w:r>
      <w:r>
        <w:rPr>
          <w:spacing w:val="-4"/>
        </w:rPr>
        <w:t> </w:t>
      </w:r>
      <w:r>
        <w:rPr/>
        <w:t>de</w:t>
      </w:r>
      <w:r>
        <w:rPr>
          <w:spacing w:val="-3"/>
        </w:rPr>
        <w:t> </w:t>
      </w:r>
      <w:r>
        <w:rPr/>
        <w:t>cada</w:t>
      </w:r>
      <w:r>
        <w:rPr>
          <w:spacing w:val="-3"/>
        </w:rPr>
        <w:t> </w:t>
      </w:r>
      <w:r>
        <w:rPr/>
        <w:t>una</w:t>
      </w:r>
      <w:r>
        <w:rPr>
          <w:spacing w:val="-3"/>
        </w:rPr>
        <w:t> </w:t>
      </w:r>
      <w:r>
        <w:rPr/>
        <w:t>de</w:t>
      </w:r>
      <w:r>
        <w:rPr>
          <w:spacing w:val="-4"/>
        </w:rPr>
        <w:t> </w:t>
      </w:r>
      <w:r>
        <w:rPr/>
        <w:t>las</w:t>
      </w:r>
      <w:r>
        <w:rPr>
          <w:spacing w:val="-4"/>
        </w:rPr>
        <w:t> </w:t>
      </w:r>
      <w:r>
        <w:rPr/>
        <w:t>categorías</w:t>
      </w:r>
      <w:r>
        <w:rPr>
          <w:spacing w:val="-4"/>
        </w:rPr>
        <w:t> </w:t>
      </w:r>
      <w:r>
        <w:rPr/>
        <w:t>de</w:t>
      </w:r>
      <w:r>
        <w:rPr>
          <w:spacing w:val="-3"/>
        </w:rPr>
        <w:t> </w:t>
      </w:r>
      <w:r>
        <w:rPr/>
        <w:t>instrumentos</w:t>
      </w:r>
      <w:r>
        <w:rPr>
          <w:spacing w:val="-3"/>
        </w:rPr>
        <w:t> </w:t>
      </w:r>
      <w:r>
        <w:rPr/>
        <w:t>financieros</w:t>
      </w:r>
      <w:r>
        <w:rPr>
          <w:spacing w:val="-4"/>
        </w:rPr>
        <w:t> </w:t>
      </w:r>
      <w:r>
        <w:rPr/>
        <w:t>establecidas</w:t>
      </w:r>
      <w:r>
        <w:rPr>
          <w:spacing w:val="-4"/>
        </w:rPr>
        <w:t> </w:t>
      </w:r>
      <w:r>
        <w:rPr/>
        <w:t>en</w:t>
      </w:r>
      <w:r>
        <w:rPr>
          <w:spacing w:val="-3"/>
        </w:rPr>
        <w:t> </w:t>
      </w:r>
      <w:r>
        <w:rPr/>
        <w:t>la</w:t>
      </w:r>
      <w:r>
        <w:rPr>
          <w:spacing w:val="-3"/>
        </w:rPr>
        <w:t> </w:t>
      </w:r>
      <w:r>
        <w:rPr/>
        <w:t>norma</w:t>
      </w:r>
      <w:r>
        <w:rPr>
          <w:spacing w:val="-4"/>
        </w:rPr>
        <w:t> </w:t>
      </w:r>
      <w:r>
        <w:rPr/>
        <w:t>de registro y valoración 9º del Plan General contable 2007 (tras la reforma de 2021) “Instrumentos financieros”, es el siguiente:</w:t>
      </w:r>
    </w:p>
    <w:p>
      <w:pPr>
        <w:pStyle w:val="BodyText"/>
      </w:pPr>
    </w:p>
    <w:p>
      <w:pPr>
        <w:pStyle w:val="BodyText"/>
        <w:spacing w:before="41"/>
      </w:pPr>
    </w:p>
    <w:p>
      <w:pPr>
        <w:spacing w:before="0" w:after="31"/>
        <w:ind w:left="5746" w:right="0" w:firstLine="0"/>
        <w:jc w:val="left"/>
        <w:rPr>
          <w:b/>
          <w:sz w:val="16"/>
        </w:rPr>
      </w:pPr>
      <w:r>
        <w:rPr>
          <w:b/>
          <w:sz w:val="16"/>
        </w:rPr>
        <w:t>Créditos</w:t>
      </w:r>
      <w:r>
        <w:rPr>
          <w:b/>
          <w:spacing w:val="-7"/>
          <w:sz w:val="16"/>
        </w:rPr>
        <w:t> </w:t>
      </w:r>
      <w:r>
        <w:rPr>
          <w:b/>
          <w:sz w:val="16"/>
        </w:rPr>
        <w:t>derivados</w:t>
      </w:r>
      <w:r>
        <w:rPr>
          <w:b/>
          <w:spacing w:val="-6"/>
          <w:sz w:val="16"/>
        </w:rPr>
        <w:t> </w:t>
      </w:r>
      <w:r>
        <w:rPr>
          <w:b/>
          <w:sz w:val="16"/>
        </w:rPr>
        <w:t>y</w:t>
      </w:r>
      <w:r>
        <w:rPr>
          <w:b/>
          <w:spacing w:val="-6"/>
          <w:sz w:val="16"/>
        </w:rPr>
        <w:t> </w:t>
      </w:r>
      <w:r>
        <w:rPr>
          <w:b/>
          <w:sz w:val="16"/>
        </w:rPr>
        <w:t>otros</w:t>
      </w:r>
      <w:r>
        <w:rPr>
          <w:b/>
          <w:spacing w:val="-7"/>
          <w:sz w:val="16"/>
        </w:rPr>
        <w:t> </w:t>
      </w:r>
      <w:r>
        <w:rPr>
          <w:b/>
          <w:spacing w:val="-2"/>
          <w:sz w:val="16"/>
        </w:rPr>
        <w:t>productos</w:t>
      </w:r>
    </w:p>
    <w:tbl>
      <w:tblPr>
        <w:tblW w:w="0" w:type="auto"/>
        <w:jc w:val="left"/>
        <w:tblInd w:w="2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37"/>
        <w:gridCol w:w="153"/>
        <w:gridCol w:w="1337"/>
        <w:gridCol w:w="138"/>
        <w:gridCol w:w="1467"/>
      </w:tblGrid>
      <w:tr>
        <w:trPr>
          <w:trHeight w:val="227" w:hRule="atLeast"/>
        </w:trPr>
        <w:tc>
          <w:tcPr>
            <w:tcW w:w="2937" w:type="dxa"/>
            <w:tcBorders>
              <w:bottom w:val="single" w:sz="8" w:space="0" w:color="000000"/>
            </w:tcBorders>
          </w:tcPr>
          <w:p>
            <w:pPr>
              <w:pStyle w:val="TableParagraph"/>
              <w:spacing w:before="22"/>
              <w:ind w:left="70"/>
              <w:rPr>
                <w:b/>
                <w:sz w:val="16"/>
              </w:rPr>
            </w:pPr>
            <w:r>
              <w:rPr>
                <w:b/>
                <w:spacing w:val="-2"/>
                <w:sz w:val="16"/>
              </w:rPr>
              <w:t>Categorías:</w:t>
            </w:r>
          </w:p>
        </w:tc>
        <w:tc>
          <w:tcPr>
            <w:tcW w:w="153" w:type="dxa"/>
          </w:tcPr>
          <w:p>
            <w:pPr>
              <w:pStyle w:val="TableParagraph"/>
              <w:rPr>
                <w:sz w:val="16"/>
              </w:rPr>
            </w:pPr>
          </w:p>
        </w:tc>
        <w:tc>
          <w:tcPr>
            <w:tcW w:w="1337" w:type="dxa"/>
            <w:tcBorders>
              <w:top w:val="single" w:sz="8" w:space="0" w:color="000000"/>
              <w:bottom w:val="single" w:sz="8" w:space="0" w:color="000000"/>
            </w:tcBorders>
          </w:tcPr>
          <w:p>
            <w:pPr>
              <w:pStyle w:val="TableParagraph"/>
              <w:spacing w:before="22"/>
              <w:ind w:left="7"/>
              <w:jc w:val="center"/>
              <w:rPr>
                <w:b/>
                <w:sz w:val="16"/>
              </w:rPr>
            </w:pPr>
            <w:r>
              <w:rPr>
                <w:b/>
                <w:spacing w:val="-4"/>
                <w:sz w:val="16"/>
              </w:rPr>
              <w:t>2025</w:t>
            </w:r>
          </w:p>
        </w:tc>
        <w:tc>
          <w:tcPr>
            <w:tcW w:w="138" w:type="dxa"/>
            <w:tcBorders>
              <w:top w:val="single" w:sz="8" w:space="0" w:color="000000"/>
            </w:tcBorders>
          </w:tcPr>
          <w:p>
            <w:pPr>
              <w:pStyle w:val="TableParagraph"/>
              <w:rPr>
                <w:sz w:val="16"/>
              </w:rPr>
            </w:pPr>
          </w:p>
        </w:tc>
        <w:tc>
          <w:tcPr>
            <w:tcW w:w="1467" w:type="dxa"/>
            <w:tcBorders>
              <w:top w:val="single" w:sz="8" w:space="0" w:color="000000"/>
              <w:bottom w:val="single" w:sz="8" w:space="0" w:color="000000"/>
            </w:tcBorders>
          </w:tcPr>
          <w:p>
            <w:pPr>
              <w:pStyle w:val="TableParagraph"/>
              <w:spacing w:before="22"/>
              <w:ind w:left="7"/>
              <w:jc w:val="center"/>
              <w:rPr>
                <w:b/>
                <w:sz w:val="16"/>
              </w:rPr>
            </w:pPr>
            <w:r>
              <w:rPr>
                <w:b/>
                <w:spacing w:val="-4"/>
                <w:sz w:val="16"/>
              </w:rPr>
              <w:t>2024</w:t>
            </w:r>
          </w:p>
        </w:tc>
      </w:tr>
      <w:tr>
        <w:trPr>
          <w:trHeight w:val="227" w:hRule="atLeast"/>
        </w:trPr>
        <w:tc>
          <w:tcPr>
            <w:tcW w:w="2937" w:type="dxa"/>
            <w:tcBorders>
              <w:top w:val="single" w:sz="8" w:space="0" w:color="000000"/>
            </w:tcBorders>
          </w:tcPr>
          <w:p>
            <w:pPr>
              <w:pStyle w:val="TableParagraph"/>
              <w:spacing w:before="22"/>
              <w:ind w:left="70"/>
              <w:rPr>
                <w:sz w:val="16"/>
              </w:rPr>
            </w:pPr>
            <w:r>
              <w:rPr>
                <w:sz w:val="16"/>
              </w:rPr>
              <w:t>Activos</w:t>
            </w:r>
            <w:r>
              <w:rPr>
                <w:spacing w:val="-6"/>
                <w:sz w:val="16"/>
              </w:rPr>
              <w:t> </w:t>
            </w:r>
            <w:r>
              <w:rPr>
                <w:sz w:val="16"/>
              </w:rPr>
              <w:t>financieros</w:t>
            </w:r>
            <w:r>
              <w:rPr>
                <w:spacing w:val="-5"/>
                <w:sz w:val="16"/>
              </w:rPr>
              <w:t> </w:t>
            </w:r>
            <w:r>
              <w:rPr>
                <w:sz w:val="16"/>
              </w:rPr>
              <w:t>a</w:t>
            </w:r>
            <w:r>
              <w:rPr>
                <w:spacing w:val="-5"/>
                <w:sz w:val="16"/>
              </w:rPr>
              <w:t> </w:t>
            </w:r>
            <w:r>
              <w:rPr>
                <w:sz w:val="16"/>
              </w:rPr>
              <w:t>coste</w:t>
            </w:r>
            <w:r>
              <w:rPr>
                <w:spacing w:val="-6"/>
                <w:sz w:val="16"/>
              </w:rPr>
              <w:t> </w:t>
            </w:r>
            <w:r>
              <w:rPr>
                <w:spacing w:val="-2"/>
                <w:sz w:val="16"/>
              </w:rPr>
              <w:t>amortizado</w:t>
            </w:r>
          </w:p>
        </w:tc>
        <w:tc>
          <w:tcPr>
            <w:tcW w:w="153" w:type="dxa"/>
          </w:tcPr>
          <w:p>
            <w:pPr>
              <w:pStyle w:val="TableParagraph"/>
              <w:rPr>
                <w:sz w:val="16"/>
              </w:rPr>
            </w:pPr>
          </w:p>
        </w:tc>
        <w:tc>
          <w:tcPr>
            <w:tcW w:w="1337" w:type="dxa"/>
            <w:tcBorders>
              <w:top w:val="single" w:sz="8" w:space="0" w:color="000000"/>
              <w:bottom w:val="single" w:sz="8" w:space="0" w:color="000000"/>
            </w:tcBorders>
          </w:tcPr>
          <w:p>
            <w:pPr>
              <w:pStyle w:val="TableParagraph"/>
              <w:spacing w:before="22"/>
              <w:ind w:right="68"/>
              <w:jc w:val="right"/>
              <w:rPr>
                <w:sz w:val="16"/>
              </w:rPr>
            </w:pPr>
            <w:r>
              <w:rPr>
                <w:spacing w:val="-2"/>
                <w:sz w:val="16"/>
              </w:rPr>
              <w:t>99.985,64</w:t>
            </w:r>
          </w:p>
        </w:tc>
        <w:tc>
          <w:tcPr>
            <w:tcW w:w="138" w:type="dxa"/>
          </w:tcPr>
          <w:p>
            <w:pPr>
              <w:pStyle w:val="TableParagraph"/>
              <w:rPr>
                <w:sz w:val="16"/>
              </w:rPr>
            </w:pPr>
          </w:p>
        </w:tc>
        <w:tc>
          <w:tcPr>
            <w:tcW w:w="1467" w:type="dxa"/>
            <w:tcBorders>
              <w:top w:val="single" w:sz="8" w:space="0" w:color="000000"/>
              <w:bottom w:val="single" w:sz="8" w:space="0" w:color="000000"/>
            </w:tcBorders>
          </w:tcPr>
          <w:p>
            <w:pPr>
              <w:pStyle w:val="TableParagraph"/>
              <w:spacing w:before="22"/>
              <w:ind w:right="69"/>
              <w:jc w:val="right"/>
              <w:rPr>
                <w:sz w:val="16"/>
              </w:rPr>
            </w:pPr>
            <w:r>
              <w:rPr>
                <w:spacing w:val="-2"/>
                <w:sz w:val="16"/>
              </w:rPr>
              <w:t>216.691,43</w:t>
            </w:r>
          </w:p>
        </w:tc>
      </w:tr>
      <w:tr>
        <w:trPr>
          <w:trHeight w:val="227" w:hRule="atLeast"/>
        </w:trPr>
        <w:tc>
          <w:tcPr>
            <w:tcW w:w="2937" w:type="dxa"/>
          </w:tcPr>
          <w:p>
            <w:pPr>
              <w:pStyle w:val="TableParagraph"/>
              <w:spacing w:before="22"/>
              <w:jc w:val="center"/>
              <w:rPr>
                <w:b/>
                <w:sz w:val="16"/>
              </w:rPr>
            </w:pPr>
            <w:r>
              <w:rPr>
                <w:b/>
                <w:spacing w:val="-2"/>
                <w:sz w:val="16"/>
              </w:rPr>
              <w:t>Total</w:t>
            </w:r>
          </w:p>
        </w:tc>
        <w:tc>
          <w:tcPr>
            <w:tcW w:w="153" w:type="dxa"/>
          </w:tcPr>
          <w:p>
            <w:pPr>
              <w:pStyle w:val="TableParagraph"/>
              <w:rPr>
                <w:sz w:val="16"/>
              </w:rPr>
            </w:pPr>
          </w:p>
        </w:tc>
        <w:tc>
          <w:tcPr>
            <w:tcW w:w="1337" w:type="dxa"/>
            <w:tcBorders>
              <w:top w:val="single" w:sz="8" w:space="0" w:color="000000"/>
              <w:bottom w:val="double" w:sz="6" w:space="0" w:color="000000"/>
            </w:tcBorders>
          </w:tcPr>
          <w:p>
            <w:pPr>
              <w:pStyle w:val="TableParagraph"/>
              <w:spacing w:before="22"/>
              <w:ind w:right="68"/>
              <w:jc w:val="right"/>
              <w:rPr>
                <w:b/>
                <w:sz w:val="16"/>
              </w:rPr>
            </w:pPr>
            <w:r>
              <w:rPr>
                <w:b/>
                <w:spacing w:val="-2"/>
                <w:sz w:val="16"/>
              </w:rPr>
              <w:t>99.985,64</w:t>
            </w:r>
          </w:p>
        </w:tc>
        <w:tc>
          <w:tcPr>
            <w:tcW w:w="138" w:type="dxa"/>
          </w:tcPr>
          <w:p>
            <w:pPr>
              <w:pStyle w:val="TableParagraph"/>
              <w:rPr>
                <w:sz w:val="16"/>
              </w:rPr>
            </w:pPr>
          </w:p>
        </w:tc>
        <w:tc>
          <w:tcPr>
            <w:tcW w:w="1467" w:type="dxa"/>
            <w:tcBorders>
              <w:top w:val="single" w:sz="8" w:space="0" w:color="000000"/>
              <w:bottom w:val="double" w:sz="6" w:space="0" w:color="000000"/>
            </w:tcBorders>
          </w:tcPr>
          <w:p>
            <w:pPr>
              <w:pStyle w:val="TableParagraph"/>
              <w:spacing w:before="22"/>
              <w:ind w:right="69"/>
              <w:jc w:val="right"/>
              <w:rPr>
                <w:b/>
                <w:sz w:val="16"/>
              </w:rPr>
            </w:pPr>
            <w:r>
              <w:rPr>
                <w:b/>
                <w:spacing w:val="-2"/>
                <w:sz w:val="16"/>
              </w:rPr>
              <w:t>216.691,43</w:t>
            </w:r>
          </w:p>
        </w:tc>
      </w:tr>
    </w:tbl>
    <w:p>
      <w:pPr>
        <w:pStyle w:val="BodyText"/>
        <w:spacing w:before="59"/>
        <w:rPr>
          <w:b/>
          <w:sz w:val="16"/>
        </w:rPr>
      </w:pPr>
    </w:p>
    <w:p>
      <w:pPr>
        <w:pStyle w:val="BodyText"/>
        <w:ind w:left="570"/>
        <w:jc w:val="both"/>
      </w:pPr>
      <w:r>
        <w:rPr/>
        <w:t>En</w:t>
      </w:r>
      <w:r>
        <w:rPr>
          <w:spacing w:val="34"/>
        </w:rPr>
        <w:t> </w:t>
      </w:r>
      <w:r>
        <w:rPr/>
        <w:t>el</w:t>
      </w:r>
      <w:r>
        <w:rPr>
          <w:spacing w:val="36"/>
        </w:rPr>
        <w:t> </w:t>
      </w:r>
      <w:r>
        <w:rPr/>
        <w:t>epígrafe</w:t>
      </w:r>
      <w:r>
        <w:rPr>
          <w:spacing w:val="36"/>
        </w:rPr>
        <w:t> </w:t>
      </w:r>
      <w:r>
        <w:rPr/>
        <w:t>“Inversiones</w:t>
      </w:r>
      <w:r>
        <w:rPr>
          <w:spacing w:val="35"/>
        </w:rPr>
        <w:t> </w:t>
      </w:r>
      <w:r>
        <w:rPr/>
        <w:t>financieras</w:t>
      </w:r>
      <w:r>
        <w:rPr>
          <w:spacing w:val="37"/>
        </w:rPr>
        <w:t> </w:t>
      </w:r>
      <w:r>
        <w:rPr/>
        <w:t>a</w:t>
      </w:r>
      <w:r>
        <w:rPr>
          <w:spacing w:val="36"/>
        </w:rPr>
        <w:t> </w:t>
      </w:r>
      <w:r>
        <w:rPr/>
        <w:t>corto</w:t>
      </w:r>
      <w:r>
        <w:rPr>
          <w:spacing w:val="36"/>
        </w:rPr>
        <w:t> </w:t>
      </w:r>
      <w:r>
        <w:rPr/>
        <w:t>el</w:t>
      </w:r>
      <w:r>
        <w:rPr>
          <w:spacing w:val="36"/>
        </w:rPr>
        <w:t> </w:t>
      </w:r>
      <w:r>
        <w:rPr/>
        <w:t>plazo”</w:t>
      </w:r>
      <w:r>
        <w:rPr>
          <w:spacing w:val="40"/>
        </w:rPr>
        <w:t> </w:t>
      </w:r>
      <w:r>
        <w:rPr/>
        <w:t>se</w:t>
      </w:r>
      <w:r>
        <w:rPr>
          <w:spacing w:val="36"/>
        </w:rPr>
        <w:t> </w:t>
      </w:r>
      <w:r>
        <w:rPr/>
        <w:t>registran</w:t>
      </w:r>
      <w:r>
        <w:rPr>
          <w:spacing w:val="37"/>
        </w:rPr>
        <w:t> </w:t>
      </w:r>
      <w:r>
        <w:rPr/>
        <w:t>los</w:t>
      </w:r>
      <w:r>
        <w:rPr>
          <w:spacing w:val="37"/>
        </w:rPr>
        <w:t> </w:t>
      </w:r>
      <w:r>
        <w:rPr/>
        <w:t>intereses</w:t>
      </w:r>
      <w:r>
        <w:rPr>
          <w:spacing w:val="37"/>
        </w:rPr>
        <w:t> </w:t>
      </w:r>
      <w:r>
        <w:rPr/>
        <w:t>devengados</w:t>
      </w:r>
      <w:r>
        <w:rPr>
          <w:spacing w:val="38"/>
        </w:rPr>
        <w:t> </w:t>
      </w:r>
      <w:r>
        <w:rPr>
          <w:spacing w:val="-7"/>
        </w:rPr>
        <w:t>en</w:t>
      </w:r>
    </w:p>
    <w:p>
      <w:pPr>
        <w:pStyle w:val="BodyText"/>
        <w:spacing w:after="0"/>
        <w:jc w:val="both"/>
        <w:sectPr>
          <w:type w:val="continuous"/>
          <w:pgSz w:w="11910" w:h="16840"/>
          <w:pgMar w:header="694" w:footer="690" w:top="1920" w:bottom="280" w:left="708" w:right="425"/>
        </w:sectPr>
      </w:pPr>
    </w:p>
    <w:p>
      <w:pPr>
        <w:pStyle w:val="BodyText"/>
        <w:spacing w:before="186"/>
        <w:ind w:left="570" w:right="1131"/>
        <w:jc w:val="both"/>
      </w:pPr>
      <w:r>
        <w:rPr/>
        <w:t>concepto</w:t>
      </w:r>
      <w:r>
        <w:rPr>
          <w:spacing w:val="-11"/>
        </w:rPr>
        <w:t> </w:t>
      </w:r>
      <w:r>
        <w:rPr/>
        <w:t>de</w:t>
      </w:r>
      <w:r>
        <w:rPr>
          <w:spacing w:val="-11"/>
        </w:rPr>
        <w:t> </w:t>
      </w:r>
      <w:r>
        <w:rPr/>
        <w:t>remuneración</w:t>
      </w:r>
      <w:r>
        <w:rPr>
          <w:spacing w:val="-10"/>
        </w:rPr>
        <w:t> </w:t>
      </w:r>
      <w:r>
        <w:rPr/>
        <w:t>de</w:t>
      </w:r>
      <w:r>
        <w:rPr>
          <w:spacing w:val="-11"/>
        </w:rPr>
        <w:t> </w:t>
      </w:r>
      <w:r>
        <w:rPr/>
        <w:t>los</w:t>
      </w:r>
      <w:r>
        <w:rPr>
          <w:spacing w:val="-12"/>
        </w:rPr>
        <w:t> </w:t>
      </w:r>
      <w:r>
        <w:rPr/>
        <w:t>saldos</w:t>
      </w:r>
      <w:r>
        <w:rPr>
          <w:spacing w:val="-11"/>
        </w:rPr>
        <w:t> </w:t>
      </w:r>
      <w:r>
        <w:rPr/>
        <w:t>medios</w:t>
      </w:r>
      <w:r>
        <w:rPr>
          <w:spacing w:val="-11"/>
        </w:rPr>
        <w:t> </w:t>
      </w:r>
      <w:r>
        <w:rPr/>
        <w:t>en</w:t>
      </w:r>
      <w:r>
        <w:rPr>
          <w:spacing w:val="-11"/>
        </w:rPr>
        <w:t> </w:t>
      </w:r>
      <w:r>
        <w:rPr/>
        <w:t>las</w:t>
      </w:r>
      <w:r>
        <w:rPr>
          <w:spacing w:val="-11"/>
        </w:rPr>
        <w:t> </w:t>
      </w:r>
      <w:r>
        <w:rPr/>
        <w:t>cuentas</w:t>
      </w:r>
      <w:r>
        <w:rPr>
          <w:spacing w:val="-12"/>
        </w:rPr>
        <w:t> </w:t>
      </w:r>
      <w:r>
        <w:rPr/>
        <w:t>bancarias</w:t>
      </w:r>
      <w:r>
        <w:rPr>
          <w:spacing w:val="-12"/>
        </w:rPr>
        <w:t> </w:t>
      </w:r>
      <w:r>
        <w:rPr/>
        <w:t>que</w:t>
      </w:r>
      <w:r>
        <w:rPr>
          <w:spacing w:val="-11"/>
        </w:rPr>
        <w:t> </w:t>
      </w:r>
      <w:r>
        <w:rPr/>
        <w:t>mantiene</w:t>
      </w:r>
      <w:r>
        <w:rPr>
          <w:spacing w:val="-11"/>
        </w:rPr>
        <w:t> </w:t>
      </w:r>
      <w:r>
        <w:rPr/>
        <w:t>la</w:t>
      </w:r>
      <w:r>
        <w:rPr>
          <w:spacing w:val="-12"/>
        </w:rPr>
        <w:t> </w:t>
      </w:r>
      <w:r>
        <w:rPr/>
        <w:t>Sociedad</w:t>
      </w:r>
      <w:r>
        <w:rPr>
          <w:spacing w:val="-5"/>
        </w:rPr>
        <w:t> </w:t>
      </w:r>
      <w:r>
        <w:rPr/>
        <w:t>y</w:t>
      </w:r>
      <w:r>
        <w:rPr>
          <w:spacing w:val="-11"/>
        </w:rPr>
        <w:t> </w:t>
      </w:r>
      <w:r>
        <w:rPr/>
        <w:t>que estén pendientes de liquidar. Al cierre del ejercicio 2025, hay intereses devengados y que estén </w:t>
      </w:r>
      <w:r>
        <w:rPr>
          <w:spacing w:val="-2"/>
        </w:rPr>
        <w:t>pendientes</w:t>
      </w:r>
      <w:r>
        <w:rPr>
          <w:spacing w:val="-4"/>
        </w:rPr>
        <w:t> </w:t>
      </w:r>
      <w:r>
        <w:rPr>
          <w:spacing w:val="-2"/>
        </w:rPr>
        <w:t>de</w:t>
      </w:r>
      <w:r>
        <w:rPr>
          <w:spacing w:val="-3"/>
        </w:rPr>
        <w:t> </w:t>
      </w:r>
      <w:r>
        <w:rPr>
          <w:spacing w:val="-2"/>
        </w:rPr>
        <w:t>liquidar</w:t>
      </w:r>
      <w:r>
        <w:rPr>
          <w:spacing w:val="-4"/>
        </w:rPr>
        <w:t> </w:t>
      </w:r>
      <w:r>
        <w:rPr>
          <w:spacing w:val="-2"/>
        </w:rPr>
        <w:t>por</w:t>
      </w:r>
      <w:r>
        <w:rPr>
          <w:spacing w:val="-4"/>
        </w:rPr>
        <w:t> </w:t>
      </w:r>
      <w:r>
        <w:rPr>
          <w:spacing w:val="-2"/>
        </w:rPr>
        <w:t>importe</w:t>
      </w:r>
      <w:r>
        <w:rPr>
          <w:spacing w:val="-4"/>
        </w:rPr>
        <w:t> </w:t>
      </w:r>
      <w:r>
        <w:rPr>
          <w:spacing w:val="-2"/>
        </w:rPr>
        <w:t>de</w:t>
      </w:r>
      <w:r>
        <w:rPr>
          <w:spacing w:val="-1"/>
        </w:rPr>
        <w:t> </w:t>
      </w:r>
      <w:r>
        <w:rPr>
          <w:spacing w:val="-2"/>
        </w:rPr>
        <w:t>99.985,64</w:t>
      </w:r>
      <w:r>
        <w:rPr>
          <w:spacing w:val="-1"/>
        </w:rPr>
        <w:t> </w:t>
      </w:r>
      <w:r>
        <w:rPr>
          <w:spacing w:val="-2"/>
        </w:rPr>
        <w:t>euros</w:t>
      </w:r>
      <w:r>
        <w:rPr>
          <w:spacing w:val="-5"/>
        </w:rPr>
        <w:t> </w:t>
      </w:r>
      <w:r>
        <w:rPr>
          <w:spacing w:val="-2"/>
        </w:rPr>
        <w:t>(210.078,19 euros al</w:t>
      </w:r>
      <w:r>
        <w:rPr>
          <w:spacing w:val="-4"/>
        </w:rPr>
        <w:t> </w:t>
      </w:r>
      <w:r>
        <w:rPr>
          <w:spacing w:val="-2"/>
        </w:rPr>
        <w:t>cierre</w:t>
      </w:r>
      <w:r>
        <w:rPr>
          <w:spacing w:val="-4"/>
        </w:rPr>
        <w:t> </w:t>
      </w:r>
      <w:r>
        <w:rPr>
          <w:spacing w:val="-2"/>
        </w:rPr>
        <w:t>del ejercicio</w:t>
      </w:r>
      <w:r>
        <w:rPr>
          <w:spacing w:val="-3"/>
        </w:rPr>
        <w:t> </w:t>
      </w:r>
      <w:r>
        <w:rPr>
          <w:spacing w:val="-2"/>
        </w:rPr>
        <w:t>de</w:t>
      </w:r>
      <w:r>
        <w:rPr>
          <w:spacing w:val="-3"/>
        </w:rPr>
        <w:t> </w:t>
      </w:r>
      <w:r>
        <w:rPr>
          <w:spacing w:val="-2"/>
        </w:rPr>
        <w:t>2024).</w:t>
      </w:r>
    </w:p>
    <w:p>
      <w:pPr>
        <w:pStyle w:val="BodyText"/>
      </w:pPr>
    </w:p>
    <w:p>
      <w:pPr>
        <w:pStyle w:val="BodyText"/>
        <w:ind w:left="570"/>
        <w:jc w:val="both"/>
      </w:pPr>
      <w:r>
        <w:rPr/>
        <w:t>La</w:t>
      </w:r>
      <w:r>
        <w:rPr>
          <w:spacing w:val="-7"/>
        </w:rPr>
        <w:t> </w:t>
      </w:r>
      <w:r>
        <w:rPr/>
        <w:t>clasificación</w:t>
      </w:r>
      <w:r>
        <w:rPr>
          <w:spacing w:val="-6"/>
        </w:rPr>
        <w:t> </w:t>
      </w:r>
      <w:r>
        <w:rPr/>
        <w:t>de</w:t>
      </w:r>
      <w:r>
        <w:rPr>
          <w:spacing w:val="-7"/>
        </w:rPr>
        <w:t> </w:t>
      </w:r>
      <w:r>
        <w:rPr/>
        <w:t>los</w:t>
      </w:r>
      <w:r>
        <w:rPr>
          <w:spacing w:val="-6"/>
        </w:rPr>
        <w:t> </w:t>
      </w:r>
      <w:r>
        <w:rPr/>
        <w:t>activos</w:t>
      </w:r>
      <w:r>
        <w:rPr>
          <w:spacing w:val="-7"/>
        </w:rPr>
        <w:t> </w:t>
      </w:r>
      <w:r>
        <w:rPr/>
        <w:t>financieros</w:t>
      </w:r>
      <w:r>
        <w:rPr>
          <w:spacing w:val="-7"/>
        </w:rPr>
        <w:t> </w:t>
      </w:r>
      <w:r>
        <w:rPr/>
        <w:t>a</w:t>
      </w:r>
      <w:r>
        <w:rPr>
          <w:spacing w:val="-6"/>
        </w:rPr>
        <w:t> </w:t>
      </w:r>
      <w:r>
        <w:rPr/>
        <w:t>coste</w:t>
      </w:r>
      <w:r>
        <w:rPr>
          <w:spacing w:val="-7"/>
        </w:rPr>
        <w:t> </w:t>
      </w:r>
      <w:r>
        <w:rPr/>
        <w:t>amortizado</w:t>
      </w:r>
      <w:r>
        <w:rPr>
          <w:spacing w:val="-6"/>
        </w:rPr>
        <w:t> </w:t>
      </w:r>
      <w:r>
        <w:rPr/>
        <w:t>es</w:t>
      </w:r>
      <w:r>
        <w:rPr>
          <w:spacing w:val="-7"/>
        </w:rPr>
        <w:t> </w:t>
      </w:r>
      <w:r>
        <w:rPr/>
        <w:t>la</w:t>
      </w:r>
      <w:r>
        <w:rPr>
          <w:spacing w:val="-6"/>
        </w:rPr>
        <w:t> </w:t>
      </w:r>
      <w:r>
        <w:rPr>
          <w:spacing w:val="-2"/>
        </w:rPr>
        <w:t>siguiente:</w:t>
      </w:r>
    </w:p>
    <w:p>
      <w:pPr>
        <w:pStyle w:val="BodyText"/>
        <w:rPr>
          <w:sz w:val="20"/>
        </w:rPr>
      </w:pPr>
    </w:p>
    <w:p>
      <w:pPr>
        <w:pStyle w:val="BodyText"/>
        <w:spacing w:before="75"/>
        <w:rPr>
          <w:sz w:val="20"/>
        </w:rPr>
      </w:pPr>
    </w:p>
    <w:tbl>
      <w:tblPr>
        <w:tblW w:w="0" w:type="auto"/>
        <w:jc w:val="left"/>
        <w:tblInd w:w="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93"/>
        <w:gridCol w:w="3089"/>
        <w:gridCol w:w="153"/>
        <w:gridCol w:w="998"/>
        <w:gridCol w:w="177"/>
        <w:gridCol w:w="1117"/>
      </w:tblGrid>
      <w:tr>
        <w:trPr>
          <w:trHeight w:val="198" w:hRule="atLeast"/>
        </w:trPr>
        <w:tc>
          <w:tcPr>
            <w:tcW w:w="2393" w:type="dxa"/>
            <w:vMerge w:val="restart"/>
          </w:tcPr>
          <w:p>
            <w:pPr>
              <w:pStyle w:val="TableParagraph"/>
              <w:rPr>
                <w:sz w:val="20"/>
              </w:rPr>
            </w:pPr>
          </w:p>
        </w:tc>
        <w:tc>
          <w:tcPr>
            <w:tcW w:w="3089" w:type="dxa"/>
            <w:tcBorders>
              <w:bottom w:val="single" w:sz="8" w:space="0" w:color="000000"/>
            </w:tcBorders>
          </w:tcPr>
          <w:p>
            <w:pPr>
              <w:pStyle w:val="TableParagraph"/>
              <w:spacing w:line="177" w:lineRule="exact"/>
              <w:ind w:right="1"/>
              <w:jc w:val="center"/>
              <w:rPr>
                <w:b/>
                <w:sz w:val="16"/>
              </w:rPr>
            </w:pPr>
            <w:r>
              <w:rPr>
                <w:b/>
                <w:spacing w:val="-2"/>
                <w:sz w:val="16"/>
              </w:rPr>
              <w:t>Concepto</w:t>
            </w:r>
          </w:p>
        </w:tc>
        <w:tc>
          <w:tcPr>
            <w:tcW w:w="153" w:type="dxa"/>
          </w:tcPr>
          <w:p>
            <w:pPr>
              <w:pStyle w:val="TableParagraph"/>
              <w:rPr>
                <w:sz w:val="12"/>
              </w:rPr>
            </w:pPr>
          </w:p>
        </w:tc>
        <w:tc>
          <w:tcPr>
            <w:tcW w:w="998" w:type="dxa"/>
            <w:tcBorders>
              <w:bottom w:val="single" w:sz="8" w:space="0" w:color="000000"/>
            </w:tcBorders>
          </w:tcPr>
          <w:p>
            <w:pPr>
              <w:pStyle w:val="TableParagraph"/>
              <w:spacing w:line="177" w:lineRule="exact"/>
              <w:ind w:left="8"/>
              <w:jc w:val="center"/>
              <w:rPr>
                <w:b/>
                <w:sz w:val="16"/>
              </w:rPr>
            </w:pPr>
            <w:r>
              <w:rPr>
                <w:b/>
                <w:spacing w:val="-4"/>
                <w:sz w:val="16"/>
              </w:rPr>
              <w:t>2025</w:t>
            </w:r>
          </w:p>
        </w:tc>
        <w:tc>
          <w:tcPr>
            <w:tcW w:w="177" w:type="dxa"/>
          </w:tcPr>
          <w:p>
            <w:pPr>
              <w:pStyle w:val="TableParagraph"/>
              <w:rPr>
                <w:sz w:val="12"/>
              </w:rPr>
            </w:pPr>
          </w:p>
        </w:tc>
        <w:tc>
          <w:tcPr>
            <w:tcW w:w="1117" w:type="dxa"/>
            <w:tcBorders>
              <w:bottom w:val="single" w:sz="8" w:space="0" w:color="000000"/>
            </w:tcBorders>
          </w:tcPr>
          <w:p>
            <w:pPr>
              <w:pStyle w:val="TableParagraph"/>
              <w:spacing w:line="177" w:lineRule="exact"/>
              <w:ind w:left="9"/>
              <w:jc w:val="center"/>
              <w:rPr>
                <w:b/>
                <w:sz w:val="16"/>
              </w:rPr>
            </w:pPr>
            <w:r>
              <w:rPr>
                <w:b/>
                <w:spacing w:val="-4"/>
                <w:sz w:val="16"/>
              </w:rPr>
              <w:t>2024</w:t>
            </w:r>
          </w:p>
        </w:tc>
      </w:tr>
      <w:tr>
        <w:trPr>
          <w:trHeight w:val="230" w:hRule="atLeast"/>
        </w:trPr>
        <w:tc>
          <w:tcPr>
            <w:tcW w:w="2393" w:type="dxa"/>
            <w:vMerge/>
            <w:tcBorders>
              <w:top w:val="nil"/>
            </w:tcBorders>
          </w:tcPr>
          <w:p>
            <w:pPr>
              <w:rPr>
                <w:sz w:val="2"/>
                <w:szCs w:val="2"/>
              </w:rPr>
            </w:pPr>
          </w:p>
        </w:tc>
        <w:tc>
          <w:tcPr>
            <w:tcW w:w="3089" w:type="dxa"/>
            <w:tcBorders>
              <w:top w:val="single" w:sz="8" w:space="0" w:color="000000"/>
            </w:tcBorders>
          </w:tcPr>
          <w:p>
            <w:pPr>
              <w:pStyle w:val="TableParagraph"/>
              <w:spacing w:before="20"/>
              <w:ind w:left="69"/>
              <w:rPr>
                <w:sz w:val="16"/>
              </w:rPr>
            </w:pPr>
            <w:r>
              <w:rPr>
                <w:sz w:val="16"/>
              </w:rPr>
              <w:t>Créditos</w:t>
            </w:r>
            <w:r>
              <w:rPr>
                <w:spacing w:val="-7"/>
                <w:sz w:val="16"/>
              </w:rPr>
              <w:t> </w:t>
            </w:r>
            <w:r>
              <w:rPr>
                <w:spacing w:val="-2"/>
                <w:sz w:val="16"/>
              </w:rPr>
              <w:t>concedidos</w:t>
            </w:r>
          </w:p>
        </w:tc>
        <w:tc>
          <w:tcPr>
            <w:tcW w:w="153" w:type="dxa"/>
          </w:tcPr>
          <w:p>
            <w:pPr>
              <w:pStyle w:val="TableParagraph"/>
              <w:rPr>
                <w:sz w:val="16"/>
              </w:rPr>
            </w:pPr>
          </w:p>
        </w:tc>
        <w:tc>
          <w:tcPr>
            <w:tcW w:w="998" w:type="dxa"/>
            <w:tcBorders>
              <w:top w:val="single" w:sz="8" w:space="0" w:color="000000"/>
            </w:tcBorders>
          </w:tcPr>
          <w:p>
            <w:pPr>
              <w:pStyle w:val="TableParagraph"/>
              <w:spacing w:before="20"/>
              <w:ind w:right="66"/>
              <w:jc w:val="right"/>
              <w:rPr>
                <w:sz w:val="16"/>
              </w:rPr>
            </w:pPr>
            <w:r>
              <w:rPr>
                <w:spacing w:val="-2"/>
                <w:sz w:val="16"/>
              </w:rPr>
              <w:t>99.985,64</w:t>
            </w:r>
          </w:p>
        </w:tc>
        <w:tc>
          <w:tcPr>
            <w:tcW w:w="177" w:type="dxa"/>
          </w:tcPr>
          <w:p>
            <w:pPr>
              <w:pStyle w:val="TableParagraph"/>
              <w:rPr>
                <w:sz w:val="16"/>
              </w:rPr>
            </w:pPr>
          </w:p>
        </w:tc>
        <w:tc>
          <w:tcPr>
            <w:tcW w:w="1117" w:type="dxa"/>
            <w:tcBorders>
              <w:top w:val="single" w:sz="8" w:space="0" w:color="000000"/>
            </w:tcBorders>
          </w:tcPr>
          <w:p>
            <w:pPr>
              <w:pStyle w:val="TableParagraph"/>
              <w:spacing w:before="20"/>
              <w:ind w:right="68"/>
              <w:jc w:val="right"/>
              <w:rPr>
                <w:sz w:val="16"/>
              </w:rPr>
            </w:pPr>
            <w:r>
              <w:rPr>
                <w:spacing w:val="-2"/>
                <w:sz w:val="16"/>
              </w:rPr>
              <w:t>210.078,19</w:t>
            </w:r>
          </w:p>
        </w:tc>
      </w:tr>
      <w:tr>
        <w:trPr>
          <w:trHeight w:val="227" w:hRule="atLeast"/>
        </w:trPr>
        <w:tc>
          <w:tcPr>
            <w:tcW w:w="2393" w:type="dxa"/>
            <w:vMerge/>
            <w:tcBorders>
              <w:top w:val="nil"/>
            </w:tcBorders>
          </w:tcPr>
          <w:p>
            <w:pPr>
              <w:rPr>
                <w:sz w:val="2"/>
                <w:szCs w:val="2"/>
              </w:rPr>
            </w:pPr>
          </w:p>
        </w:tc>
        <w:tc>
          <w:tcPr>
            <w:tcW w:w="3089" w:type="dxa"/>
          </w:tcPr>
          <w:p>
            <w:pPr>
              <w:pStyle w:val="TableParagraph"/>
              <w:spacing w:before="18"/>
              <w:ind w:left="389"/>
              <w:rPr>
                <w:sz w:val="16"/>
              </w:rPr>
            </w:pPr>
            <w:r>
              <w:rPr>
                <w:spacing w:val="-2"/>
                <w:sz w:val="16"/>
              </w:rPr>
              <w:t>Terceros</w:t>
            </w:r>
          </w:p>
        </w:tc>
        <w:tc>
          <w:tcPr>
            <w:tcW w:w="153" w:type="dxa"/>
          </w:tcPr>
          <w:p>
            <w:pPr>
              <w:pStyle w:val="TableParagraph"/>
              <w:rPr>
                <w:sz w:val="16"/>
              </w:rPr>
            </w:pPr>
          </w:p>
        </w:tc>
        <w:tc>
          <w:tcPr>
            <w:tcW w:w="998" w:type="dxa"/>
          </w:tcPr>
          <w:p>
            <w:pPr>
              <w:pStyle w:val="TableParagraph"/>
              <w:spacing w:before="18"/>
              <w:ind w:right="66"/>
              <w:jc w:val="right"/>
              <w:rPr>
                <w:sz w:val="16"/>
              </w:rPr>
            </w:pPr>
            <w:r>
              <w:rPr>
                <w:spacing w:val="-2"/>
                <w:sz w:val="16"/>
              </w:rPr>
              <w:t>99.985,64</w:t>
            </w:r>
          </w:p>
        </w:tc>
        <w:tc>
          <w:tcPr>
            <w:tcW w:w="177" w:type="dxa"/>
          </w:tcPr>
          <w:p>
            <w:pPr>
              <w:pStyle w:val="TableParagraph"/>
              <w:rPr>
                <w:sz w:val="16"/>
              </w:rPr>
            </w:pPr>
          </w:p>
        </w:tc>
        <w:tc>
          <w:tcPr>
            <w:tcW w:w="1117" w:type="dxa"/>
          </w:tcPr>
          <w:p>
            <w:pPr>
              <w:pStyle w:val="TableParagraph"/>
              <w:spacing w:before="18"/>
              <w:ind w:right="68"/>
              <w:jc w:val="right"/>
              <w:rPr>
                <w:sz w:val="16"/>
              </w:rPr>
            </w:pPr>
            <w:r>
              <w:rPr>
                <w:spacing w:val="-2"/>
                <w:sz w:val="16"/>
              </w:rPr>
              <w:t>210.078,19</w:t>
            </w:r>
          </w:p>
        </w:tc>
      </w:tr>
      <w:tr>
        <w:trPr>
          <w:trHeight w:val="226" w:hRule="atLeast"/>
        </w:trPr>
        <w:tc>
          <w:tcPr>
            <w:tcW w:w="2393" w:type="dxa"/>
            <w:vMerge/>
            <w:tcBorders>
              <w:top w:val="nil"/>
            </w:tcBorders>
          </w:tcPr>
          <w:p>
            <w:pPr>
              <w:rPr>
                <w:sz w:val="2"/>
                <w:szCs w:val="2"/>
              </w:rPr>
            </w:pPr>
          </w:p>
        </w:tc>
        <w:tc>
          <w:tcPr>
            <w:tcW w:w="3089" w:type="dxa"/>
          </w:tcPr>
          <w:p>
            <w:pPr>
              <w:pStyle w:val="TableParagraph"/>
              <w:spacing w:before="18"/>
              <w:ind w:left="69"/>
              <w:rPr>
                <w:sz w:val="16"/>
              </w:rPr>
            </w:pPr>
            <w:r>
              <w:rPr>
                <w:sz w:val="16"/>
              </w:rPr>
              <w:t>Deudores</w:t>
            </w:r>
            <w:r>
              <w:rPr>
                <w:spacing w:val="-7"/>
                <w:sz w:val="16"/>
              </w:rPr>
              <w:t> </w:t>
            </w:r>
            <w:r>
              <w:rPr>
                <w:sz w:val="16"/>
              </w:rPr>
              <w:t>comerciales</w:t>
            </w:r>
            <w:r>
              <w:rPr>
                <w:spacing w:val="-7"/>
                <w:sz w:val="16"/>
              </w:rPr>
              <w:t> </w:t>
            </w:r>
            <w:r>
              <w:rPr>
                <w:sz w:val="16"/>
              </w:rPr>
              <w:t>y</w:t>
            </w:r>
            <w:r>
              <w:rPr>
                <w:spacing w:val="-5"/>
                <w:sz w:val="16"/>
              </w:rPr>
              <w:t> </w:t>
            </w:r>
            <w:r>
              <w:rPr>
                <w:sz w:val="16"/>
              </w:rPr>
              <w:t>otras</w:t>
            </w:r>
            <w:r>
              <w:rPr>
                <w:spacing w:val="-7"/>
                <w:sz w:val="16"/>
              </w:rPr>
              <w:t> </w:t>
            </w:r>
            <w:r>
              <w:rPr>
                <w:sz w:val="16"/>
              </w:rPr>
              <w:t>cuentas</w:t>
            </w:r>
            <w:r>
              <w:rPr>
                <w:spacing w:val="-6"/>
                <w:sz w:val="16"/>
              </w:rPr>
              <w:t> </w:t>
            </w:r>
            <w:r>
              <w:rPr>
                <w:sz w:val="16"/>
              </w:rPr>
              <w:t>a</w:t>
            </w:r>
            <w:r>
              <w:rPr>
                <w:spacing w:val="-7"/>
                <w:sz w:val="16"/>
              </w:rPr>
              <w:t> </w:t>
            </w:r>
            <w:r>
              <w:rPr>
                <w:spacing w:val="-2"/>
                <w:sz w:val="16"/>
              </w:rPr>
              <w:t>pagar</w:t>
            </w:r>
          </w:p>
        </w:tc>
        <w:tc>
          <w:tcPr>
            <w:tcW w:w="153" w:type="dxa"/>
          </w:tcPr>
          <w:p>
            <w:pPr>
              <w:pStyle w:val="TableParagraph"/>
              <w:rPr>
                <w:sz w:val="16"/>
              </w:rPr>
            </w:pPr>
          </w:p>
        </w:tc>
        <w:tc>
          <w:tcPr>
            <w:tcW w:w="998" w:type="dxa"/>
          </w:tcPr>
          <w:p>
            <w:pPr>
              <w:pStyle w:val="TableParagraph"/>
              <w:spacing w:before="18"/>
              <w:ind w:right="66"/>
              <w:jc w:val="right"/>
              <w:rPr>
                <w:sz w:val="16"/>
              </w:rPr>
            </w:pPr>
            <w:r>
              <w:rPr>
                <w:spacing w:val="-4"/>
                <w:sz w:val="16"/>
              </w:rPr>
              <w:t>0,00</w:t>
            </w:r>
          </w:p>
        </w:tc>
        <w:tc>
          <w:tcPr>
            <w:tcW w:w="177" w:type="dxa"/>
          </w:tcPr>
          <w:p>
            <w:pPr>
              <w:pStyle w:val="TableParagraph"/>
              <w:rPr>
                <w:sz w:val="16"/>
              </w:rPr>
            </w:pPr>
          </w:p>
        </w:tc>
        <w:tc>
          <w:tcPr>
            <w:tcW w:w="1117" w:type="dxa"/>
          </w:tcPr>
          <w:p>
            <w:pPr>
              <w:pStyle w:val="TableParagraph"/>
              <w:spacing w:before="18"/>
              <w:ind w:right="68"/>
              <w:jc w:val="right"/>
              <w:rPr>
                <w:sz w:val="16"/>
              </w:rPr>
            </w:pPr>
            <w:r>
              <w:rPr>
                <w:spacing w:val="-2"/>
                <w:sz w:val="16"/>
              </w:rPr>
              <w:t>6.613,24</w:t>
            </w:r>
          </w:p>
        </w:tc>
      </w:tr>
      <w:tr>
        <w:trPr>
          <w:trHeight w:val="223" w:hRule="atLeast"/>
        </w:trPr>
        <w:tc>
          <w:tcPr>
            <w:tcW w:w="2393" w:type="dxa"/>
            <w:vMerge/>
            <w:tcBorders>
              <w:top w:val="nil"/>
            </w:tcBorders>
          </w:tcPr>
          <w:p>
            <w:pPr>
              <w:rPr>
                <w:sz w:val="2"/>
                <w:szCs w:val="2"/>
              </w:rPr>
            </w:pPr>
          </w:p>
        </w:tc>
        <w:tc>
          <w:tcPr>
            <w:tcW w:w="3089" w:type="dxa"/>
          </w:tcPr>
          <w:p>
            <w:pPr>
              <w:pStyle w:val="TableParagraph"/>
              <w:spacing w:before="18"/>
              <w:ind w:left="389"/>
              <w:rPr>
                <w:sz w:val="16"/>
              </w:rPr>
            </w:pPr>
            <w:r>
              <w:rPr>
                <w:sz w:val="16"/>
              </w:rPr>
              <w:t>Empresas</w:t>
            </w:r>
            <w:r>
              <w:rPr>
                <w:spacing w:val="-4"/>
                <w:sz w:val="16"/>
              </w:rPr>
              <w:t> </w:t>
            </w:r>
            <w:r>
              <w:rPr>
                <w:sz w:val="16"/>
              </w:rPr>
              <w:t>del</w:t>
            </w:r>
            <w:r>
              <w:rPr>
                <w:spacing w:val="-6"/>
                <w:sz w:val="16"/>
              </w:rPr>
              <w:t> </w:t>
            </w:r>
            <w:r>
              <w:rPr>
                <w:sz w:val="16"/>
              </w:rPr>
              <w:t>grupo</w:t>
            </w:r>
            <w:r>
              <w:rPr>
                <w:spacing w:val="-5"/>
                <w:sz w:val="16"/>
              </w:rPr>
              <w:t> </w:t>
            </w:r>
            <w:r>
              <w:rPr>
                <w:sz w:val="16"/>
              </w:rPr>
              <w:t>(ver</w:t>
            </w:r>
            <w:r>
              <w:rPr>
                <w:spacing w:val="-5"/>
                <w:sz w:val="16"/>
              </w:rPr>
              <w:t> </w:t>
            </w:r>
            <w:r>
              <w:rPr>
                <w:sz w:val="16"/>
              </w:rPr>
              <w:t>nota</w:t>
            </w:r>
            <w:r>
              <w:rPr>
                <w:spacing w:val="-6"/>
                <w:sz w:val="16"/>
              </w:rPr>
              <w:t> </w:t>
            </w:r>
            <w:r>
              <w:rPr>
                <w:spacing w:val="-5"/>
                <w:sz w:val="16"/>
              </w:rPr>
              <w:t>14)</w:t>
            </w:r>
          </w:p>
        </w:tc>
        <w:tc>
          <w:tcPr>
            <w:tcW w:w="153" w:type="dxa"/>
          </w:tcPr>
          <w:p>
            <w:pPr>
              <w:pStyle w:val="TableParagraph"/>
              <w:rPr>
                <w:sz w:val="14"/>
              </w:rPr>
            </w:pPr>
          </w:p>
        </w:tc>
        <w:tc>
          <w:tcPr>
            <w:tcW w:w="998" w:type="dxa"/>
            <w:tcBorders>
              <w:bottom w:val="single" w:sz="8" w:space="0" w:color="000000"/>
            </w:tcBorders>
          </w:tcPr>
          <w:p>
            <w:pPr>
              <w:pStyle w:val="TableParagraph"/>
              <w:spacing w:before="18"/>
              <w:ind w:right="66"/>
              <w:jc w:val="right"/>
              <w:rPr>
                <w:sz w:val="16"/>
              </w:rPr>
            </w:pPr>
            <w:r>
              <w:rPr>
                <w:spacing w:val="-4"/>
                <w:sz w:val="16"/>
              </w:rPr>
              <w:t>0,00</w:t>
            </w:r>
          </w:p>
        </w:tc>
        <w:tc>
          <w:tcPr>
            <w:tcW w:w="177" w:type="dxa"/>
          </w:tcPr>
          <w:p>
            <w:pPr>
              <w:pStyle w:val="TableParagraph"/>
              <w:rPr>
                <w:sz w:val="14"/>
              </w:rPr>
            </w:pPr>
          </w:p>
        </w:tc>
        <w:tc>
          <w:tcPr>
            <w:tcW w:w="1117" w:type="dxa"/>
            <w:tcBorders>
              <w:bottom w:val="single" w:sz="8" w:space="0" w:color="000000"/>
            </w:tcBorders>
          </w:tcPr>
          <w:p>
            <w:pPr>
              <w:pStyle w:val="TableParagraph"/>
              <w:spacing w:before="18"/>
              <w:ind w:right="68"/>
              <w:jc w:val="right"/>
              <w:rPr>
                <w:sz w:val="16"/>
              </w:rPr>
            </w:pPr>
            <w:r>
              <w:rPr>
                <w:spacing w:val="-2"/>
                <w:sz w:val="16"/>
              </w:rPr>
              <w:t>6.613,24</w:t>
            </w:r>
          </w:p>
        </w:tc>
      </w:tr>
      <w:tr>
        <w:trPr>
          <w:trHeight w:val="229" w:hRule="atLeast"/>
        </w:trPr>
        <w:tc>
          <w:tcPr>
            <w:tcW w:w="2393" w:type="dxa"/>
            <w:vMerge/>
            <w:tcBorders>
              <w:top w:val="nil"/>
            </w:tcBorders>
          </w:tcPr>
          <w:p>
            <w:pPr>
              <w:rPr>
                <w:sz w:val="2"/>
                <w:szCs w:val="2"/>
              </w:rPr>
            </w:pPr>
          </w:p>
        </w:tc>
        <w:tc>
          <w:tcPr>
            <w:tcW w:w="3089" w:type="dxa"/>
          </w:tcPr>
          <w:p>
            <w:pPr>
              <w:pStyle w:val="TableParagraph"/>
              <w:spacing w:before="22"/>
              <w:ind w:right="1"/>
              <w:jc w:val="center"/>
              <w:rPr>
                <w:b/>
                <w:sz w:val="16"/>
              </w:rPr>
            </w:pPr>
            <w:r>
              <w:rPr>
                <w:b/>
                <w:spacing w:val="-2"/>
                <w:sz w:val="16"/>
              </w:rPr>
              <w:t>Total</w:t>
            </w:r>
          </w:p>
        </w:tc>
        <w:tc>
          <w:tcPr>
            <w:tcW w:w="153" w:type="dxa"/>
          </w:tcPr>
          <w:p>
            <w:pPr>
              <w:pStyle w:val="TableParagraph"/>
              <w:rPr>
                <w:sz w:val="16"/>
              </w:rPr>
            </w:pPr>
          </w:p>
        </w:tc>
        <w:tc>
          <w:tcPr>
            <w:tcW w:w="998" w:type="dxa"/>
            <w:tcBorders>
              <w:top w:val="single" w:sz="8" w:space="0" w:color="000000"/>
              <w:bottom w:val="double" w:sz="6" w:space="0" w:color="000000"/>
            </w:tcBorders>
          </w:tcPr>
          <w:p>
            <w:pPr>
              <w:pStyle w:val="TableParagraph"/>
              <w:spacing w:before="22"/>
              <w:ind w:right="66"/>
              <w:jc w:val="right"/>
              <w:rPr>
                <w:b/>
                <w:sz w:val="16"/>
              </w:rPr>
            </w:pPr>
            <w:r>
              <w:rPr>
                <w:b/>
                <w:spacing w:val="-2"/>
                <w:sz w:val="16"/>
              </w:rPr>
              <w:t>99.985,64</w:t>
            </w:r>
          </w:p>
        </w:tc>
        <w:tc>
          <w:tcPr>
            <w:tcW w:w="177" w:type="dxa"/>
          </w:tcPr>
          <w:p>
            <w:pPr>
              <w:pStyle w:val="TableParagraph"/>
              <w:rPr>
                <w:sz w:val="16"/>
              </w:rPr>
            </w:pPr>
          </w:p>
        </w:tc>
        <w:tc>
          <w:tcPr>
            <w:tcW w:w="1117" w:type="dxa"/>
            <w:tcBorders>
              <w:top w:val="single" w:sz="8" w:space="0" w:color="000000"/>
              <w:bottom w:val="double" w:sz="6" w:space="0" w:color="000000"/>
            </w:tcBorders>
          </w:tcPr>
          <w:p>
            <w:pPr>
              <w:pStyle w:val="TableParagraph"/>
              <w:spacing w:before="22"/>
              <w:ind w:right="68"/>
              <w:jc w:val="right"/>
              <w:rPr>
                <w:b/>
                <w:sz w:val="16"/>
              </w:rPr>
            </w:pPr>
            <w:r>
              <w:rPr>
                <w:b/>
                <w:spacing w:val="-2"/>
                <w:sz w:val="16"/>
              </w:rPr>
              <w:t>216.691,43</w:t>
            </w:r>
          </w:p>
        </w:tc>
      </w:tr>
      <w:tr>
        <w:trPr>
          <w:trHeight w:val="758" w:hRule="atLeast"/>
        </w:trPr>
        <w:tc>
          <w:tcPr>
            <w:tcW w:w="2393" w:type="dxa"/>
          </w:tcPr>
          <w:p>
            <w:pPr>
              <w:pStyle w:val="TableParagraph"/>
              <w:spacing w:before="252"/>
              <w:rPr>
                <w:sz w:val="22"/>
              </w:rPr>
            </w:pPr>
          </w:p>
          <w:p>
            <w:pPr>
              <w:pStyle w:val="TableParagraph"/>
              <w:spacing w:line="233" w:lineRule="exact"/>
              <w:ind w:left="50"/>
              <w:rPr>
                <w:b/>
                <w:sz w:val="22"/>
              </w:rPr>
            </w:pPr>
            <w:r>
              <w:rPr>
                <w:b/>
                <w:sz w:val="22"/>
              </w:rPr>
              <w:t>8)</w:t>
            </w:r>
            <w:r>
              <w:rPr>
                <w:b/>
                <w:spacing w:val="29"/>
                <w:sz w:val="22"/>
              </w:rPr>
              <w:t>  </w:t>
            </w:r>
            <w:r>
              <w:rPr>
                <w:b/>
                <w:sz w:val="22"/>
              </w:rPr>
              <w:t>Pasivos</w:t>
            </w:r>
            <w:r>
              <w:rPr>
                <w:b/>
                <w:spacing w:val="-2"/>
                <w:sz w:val="22"/>
              </w:rPr>
              <w:t> financieros</w:t>
            </w:r>
          </w:p>
        </w:tc>
        <w:tc>
          <w:tcPr>
            <w:tcW w:w="3089" w:type="dxa"/>
          </w:tcPr>
          <w:p>
            <w:pPr>
              <w:pStyle w:val="TableParagraph"/>
              <w:rPr>
                <w:sz w:val="20"/>
              </w:rPr>
            </w:pPr>
          </w:p>
        </w:tc>
        <w:tc>
          <w:tcPr>
            <w:tcW w:w="153" w:type="dxa"/>
          </w:tcPr>
          <w:p>
            <w:pPr>
              <w:pStyle w:val="TableParagraph"/>
              <w:rPr>
                <w:sz w:val="20"/>
              </w:rPr>
            </w:pPr>
          </w:p>
        </w:tc>
        <w:tc>
          <w:tcPr>
            <w:tcW w:w="998" w:type="dxa"/>
            <w:tcBorders>
              <w:top w:val="double" w:sz="6" w:space="0" w:color="000000"/>
            </w:tcBorders>
          </w:tcPr>
          <w:p>
            <w:pPr>
              <w:pStyle w:val="TableParagraph"/>
              <w:rPr>
                <w:sz w:val="20"/>
              </w:rPr>
            </w:pPr>
          </w:p>
        </w:tc>
        <w:tc>
          <w:tcPr>
            <w:tcW w:w="177" w:type="dxa"/>
          </w:tcPr>
          <w:p>
            <w:pPr>
              <w:pStyle w:val="TableParagraph"/>
              <w:rPr>
                <w:sz w:val="20"/>
              </w:rPr>
            </w:pPr>
          </w:p>
        </w:tc>
        <w:tc>
          <w:tcPr>
            <w:tcW w:w="1117" w:type="dxa"/>
            <w:tcBorders>
              <w:top w:val="double" w:sz="6" w:space="0" w:color="000000"/>
            </w:tcBorders>
          </w:tcPr>
          <w:p>
            <w:pPr>
              <w:pStyle w:val="TableParagraph"/>
              <w:rPr>
                <w:sz w:val="20"/>
              </w:rPr>
            </w:pPr>
          </w:p>
        </w:tc>
      </w:tr>
    </w:tbl>
    <w:p>
      <w:pPr>
        <w:pStyle w:val="BodyText"/>
        <w:spacing w:before="210"/>
      </w:pPr>
    </w:p>
    <w:p>
      <w:pPr>
        <w:pStyle w:val="ListParagraph"/>
        <w:numPr>
          <w:ilvl w:val="0"/>
          <w:numId w:val="10"/>
        </w:numPr>
        <w:tabs>
          <w:tab w:pos="992" w:val="left" w:leader="none"/>
        </w:tabs>
        <w:spacing w:line="240" w:lineRule="auto" w:before="0" w:after="0"/>
        <w:ind w:left="992" w:right="0" w:hanging="359"/>
        <w:jc w:val="left"/>
        <w:rPr>
          <w:sz w:val="22"/>
        </w:rPr>
      </w:pPr>
      <w:r>
        <w:rPr>
          <w:sz w:val="22"/>
          <w:u w:val="single"/>
        </w:rPr>
        <w:t>Pasivos</w:t>
      </w:r>
      <w:r>
        <w:rPr>
          <w:spacing w:val="-10"/>
          <w:sz w:val="22"/>
          <w:u w:val="single"/>
        </w:rPr>
        <w:t> </w:t>
      </w:r>
      <w:r>
        <w:rPr>
          <w:sz w:val="22"/>
          <w:u w:val="single"/>
        </w:rPr>
        <w:t>financieros</w:t>
      </w:r>
      <w:r>
        <w:rPr>
          <w:spacing w:val="-10"/>
          <w:sz w:val="22"/>
          <w:u w:val="single"/>
        </w:rPr>
        <w:t> </w:t>
      </w:r>
      <w:r>
        <w:rPr>
          <w:sz w:val="22"/>
          <w:u w:val="single"/>
        </w:rPr>
        <w:t>no</w:t>
      </w:r>
      <w:r>
        <w:rPr>
          <w:spacing w:val="-8"/>
          <w:sz w:val="22"/>
          <w:u w:val="single"/>
        </w:rPr>
        <w:t> </w:t>
      </w:r>
      <w:r>
        <w:rPr>
          <w:spacing w:val="-2"/>
          <w:sz w:val="22"/>
          <w:u w:val="single"/>
        </w:rPr>
        <w:t>corrientes:</w:t>
      </w:r>
    </w:p>
    <w:p>
      <w:pPr>
        <w:pStyle w:val="BodyText"/>
        <w:spacing w:before="1"/>
      </w:pPr>
    </w:p>
    <w:p>
      <w:pPr>
        <w:pStyle w:val="BodyText"/>
        <w:ind w:left="570"/>
        <w:jc w:val="both"/>
      </w:pPr>
      <w:r>
        <w:rPr/>
        <w:t>El</w:t>
      </w:r>
      <w:r>
        <w:rPr>
          <w:spacing w:val="-5"/>
        </w:rPr>
        <w:t> </w:t>
      </w:r>
      <w:r>
        <w:rPr/>
        <w:t>detalle</w:t>
      </w:r>
      <w:r>
        <w:rPr>
          <w:spacing w:val="-6"/>
        </w:rPr>
        <w:t> </w:t>
      </w:r>
      <w:r>
        <w:rPr/>
        <w:t>de</w:t>
      </w:r>
      <w:r>
        <w:rPr>
          <w:spacing w:val="-6"/>
        </w:rPr>
        <w:t> </w:t>
      </w:r>
      <w:r>
        <w:rPr/>
        <w:t>los</w:t>
      </w:r>
      <w:r>
        <w:rPr>
          <w:spacing w:val="-6"/>
        </w:rPr>
        <w:t> </w:t>
      </w:r>
      <w:r>
        <w:rPr/>
        <w:t>pasivos</w:t>
      </w:r>
      <w:r>
        <w:rPr>
          <w:spacing w:val="-5"/>
        </w:rPr>
        <w:t> </w:t>
      </w:r>
      <w:r>
        <w:rPr/>
        <w:t>financieros</w:t>
      </w:r>
      <w:r>
        <w:rPr>
          <w:spacing w:val="-6"/>
        </w:rPr>
        <w:t> </w:t>
      </w:r>
      <w:r>
        <w:rPr/>
        <w:t>a</w:t>
      </w:r>
      <w:r>
        <w:rPr>
          <w:spacing w:val="-6"/>
        </w:rPr>
        <w:t> </w:t>
      </w:r>
      <w:r>
        <w:rPr/>
        <w:t>largo</w:t>
      </w:r>
      <w:r>
        <w:rPr>
          <w:spacing w:val="-5"/>
        </w:rPr>
        <w:t> </w:t>
      </w:r>
      <w:r>
        <w:rPr/>
        <w:t>plazo</w:t>
      </w:r>
      <w:r>
        <w:rPr>
          <w:spacing w:val="-5"/>
        </w:rPr>
        <w:t> </w:t>
      </w:r>
      <w:r>
        <w:rPr/>
        <w:t>es</w:t>
      </w:r>
      <w:r>
        <w:rPr>
          <w:spacing w:val="-6"/>
        </w:rPr>
        <w:t> </w:t>
      </w:r>
      <w:r>
        <w:rPr/>
        <w:t>el</w:t>
      </w:r>
      <w:r>
        <w:rPr>
          <w:spacing w:val="-6"/>
        </w:rPr>
        <w:t> </w:t>
      </w:r>
      <w:r>
        <w:rPr>
          <w:spacing w:val="-2"/>
        </w:rPr>
        <w:t>siguiente:</w:t>
      </w:r>
    </w:p>
    <w:p>
      <w:pPr>
        <w:pStyle w:val="BodyText"/>
        <w:spacing w:before="20"/>
      </w:pPr>
    </w:p>
    <w:p>
      <w:pPr>
        <w:spacing w:before="0" w:after="33"/>
        <w:ind w:left="6252" w:right="0" w:firstLine="0"/>
        <w:jc w:val="left"/>
        <w:rPr>
          <w:b/>
          <w:sz w:val="16"/>
        </w:rPr>
      </w:pPr>
      <w:r>
        <w:rPr>
          <w:b/>
          <w:sz w:val="16"/>
        </w:rPr>
        <w:t>Otros</w:t>
      </w:r>
      <w:r>
        <w:rPr>
          <w:b/>
          <w:spacing w:val="-8"/>
          <w:sz w:val="16"/>
        </w:rPr>
        <w:t> </w:t>
      </w:r>
      <w:r>
        <w:rPr>
          <w:b/>
          <w:sz w:val="16"/>
        </w:rPr>
        <w:t>pasivos</w:t>
      </w:r>
      <w:r>
        <w:rPr>
          <w:b/>
          <w:spacing w:val="-8"/>
          <w:sz w:val="16"/>
        </w:rPr>
        <w:t> </w:t>
      </w:r>
      <w:r>
        <w:rPr>
          <w:b/>
          <w:spacing w:val="-2"/>
          <w:sz w:val="16"/>
        </w:rPr>
        <w:t>financieros</w:t>
      </w:r>
    </w:p>
    <w:tbl>
      <w:tblPr>
        <w:tblW w:w="0" w:type="auto"/>
        <w:jc w:val="left"/>
        <w:tblInd w:w="23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15"/>
        <w:gridCol w:w="288"/>
        <w:gridCol w:w="1402"/>
        <w:gridCol w:w="140"/>
        <w:gridCol w:w="1442"/>
      </w:tblGrid>
      <w:tr>
        <w:trPr>
          <w:trHeight w:val="227" w:hRule="atLeast"/>
        </w:trPr>
        <w:tc>
          <w:tcPr>
            <w:tcW w:w="3015" w:type="dxa"/>
            <w:tcBorders>
              <w:bottom w:val="single" w:sz="8" w:space="0" w:color="000000"/>
            </w:tcBorders>
          </w:tcPr>
          <w:p>
            <w:pPr>
              <w:pStyle w:val="TableParagraph"/>
              <w:spacing w:before="20"/>
              <w:ind w:left="69"/>
              <w:rPr>
                <w:b/>
                <w:sz w:val="16"/>
              </w:rPr>
            </w:pPr>
            <w:r>
              <w:rPr>
                <w:b/>
                <w:spacing w:val="-2"/>
                <w:sz w:val="16"/>
              </w:rPr>
              <w:t>Categorías:</w:t>
            </w:r>
          </w:p>
        </w:tc>
        <w:tc>
          <w:tcPr>
            <w:tcW w:w="288" w:type="dxa"/>
          </w:tcPr>
          <w:p>
            <w:pPr>
              <w:pStyle w:val="TableParagraph"/>
              <w:rPr>
                <w:sz w:val="16"/>
              </w:rPr>
            </w:pPr>
          </w:p>
        </w:tc>
        <w:tc>
          <w:tcPr>
            <w:tcW w:w="1402" w:type="dxa"/>
            <w:tcBorders>
              <w:top w:val="single" w:sz="8" w:space="0" w:color="000000"/>
              <w:bottom w:val="single" w:sz="8" w:space="0" w:color="000000"/>
            </w:tcBorders>
          </w:tcPr>
          <w:p>
            <w:pPr>
              <w:pStyle w:val="TableParagraph"/>
              <w:spacing w:before="20"/>
              <w:ind w:left="6"/>
              <w:jc w:val="center"/>
              <w:rPr>
                <w:b/>
                <w:sz w:val="16"/>
              </w:rPr>
            </w:pPr>
            <w:r>
              <w:rPr>
                <w:b/>
                <w:spacing w:val="-4"/>
                <w:sz w:val="16"/>
              </w:rPr>
              <w:t>2025</w:t>
            </w:r>
          </w:p>
        </w:tc>
        <w:tc>
          <w:tcPr>
            <w:tcW w:w="140" w:type="dxa"/>
            <w:tcBorders>
              <w:top w:val="single" w:sz="8" w:space="0" w:color="000000"/>
            </w:tcBorders>
          </w:tcPr>
          <w:p>
            <w:pPr>
              <w:pStyle w:val="TableParagraph"/>
              <w:rPr>
                <w:sz w:val="16"/>
              </w:rPr>
            </w:pPr>
          </w:p>
        </w:tc>
        <w:tc>
          <w:tcPr>
            <w:tcW w:w="1442" w:type="dxa"/>
            <w:tcBorders>
              <w:top w:val="single" w:sz="8" w:space="0" w:color="000000"/>
              <w:bottom w:val="single" w:sz="8" w:space="0" w:color="000000"/>
            </w:tcBorders>
          </w:tcPr>
          <w:p>
            <w:pPr>
              <w:pStyle w:val="TableParagraph"/>
              <w:spacing w:before="20"/>
              <w:ind w:left="3"/>
              <w:jc w:val="center"/>
              <w:rPr>
                <w:b/>
                <w:sz w:val="16"/>
              </w:rPr>
            </w:pPr>
            <w:r>
              <w:rPr>
                <w:b/>
                <w:spacing w:val="-4"/>
                <w:sz w:val="16"/>
              </w:rPr>
              <w:t>2024</w:t>
            </w:r>
          </w:p>
        </w:tc>
      </w:tr>
      <w:tr>
        <w:trPr>
          <w:trHeight w:val="226" w:hRule="atLeast"/>
        </w:trPr>
        <w:tc>
          <w:tcPr>
            <w:tcW w:w="3015" w:type="dxa"/>
            <w:tcBorders>
              <w:top w:val="single" w:sz="8" w:space="0" w:color="000000"/>
            </w:tcBorders>
          </w:tcPr>
          <w:p>
            <w:pPr>
              <w:pStyle w:val="TableParagraph"/>
              <w:spacing w:before="20"/>
              <w:ind w:left="69"/>
              <w:rPr>
                <w:sz w:val="16"/>
              </w:rPr>
            </w:pPr>
            <w:r>
              <w:rPr>
                <w:sz w:val="16"/>
              </w:rPr>
              <w:t>Pasivos</w:t>
            </w:r>
            <w:r>
              <w:rPr>
                <w:spacing w:val="-7"/>
                <w:sz w:val="16"/>
              </w:rPr>
              <w:t> </w:t>
            </w:r>
            <w:r>
              <w:rPr>
                <w:sz w:val="16"/>
              </w:rPr>
              <w:t>financieros</w:t>
            </w:r>
            <w:r>
              <w:rPr>
                <w:spacing w:val="-7"/>
                <w:sz w:val="16"/>
              </w:rPr>
              <w:t> </w:t>
            </w:r>
            <w:r>
              <w:rPr>
                <w:sz w:val="16"/>
              </w:rPr>
              <w:t>a</w:t>
            </w:r>
            <w:r>
              <w:rPr>
                <w:spacing w:val="-7"/>
                <w:sz w:val="16"/>
              </w:rPr>
              <w:t> </w:t>
            </w:r>
            <w:r>
              <w:rPr>
                <w:spacing w:val="-2"/>
                <w:sz w:val="16"/>
              </w:rPr>
              <w:t>coste</w:t>
            </w:r>
          </w:p>
        </w:tc>
        <w:tc>
          <w:tcPr>
            <w:tcW w:w="288" w:type="dxa"/>
          </w:tcPr>
          <w:p>
            <w:pPr>
              <w:pStyle w:val="TableParagraph"/>
              <w:rPr>
                <w:sz w:val="16"/>
              </w:rPr>
            </w:pPr>
          </w:p>
        </w:tc>
        <w:tc>
          <w:tcPr>
            <w:tcW w:w="1402" w:type="dxa"/>
            <w:tcBorders>
              <w:top w:val="single" w:sz="8" w:space="0" w:color="000000"/>
              <w:bottom w:val="single" w:sz="12" w:space="0" w:color="000000"/>
            </w:tcBorders>
          </w:tcPr>
          <w:p>
            <w:pPr>
              <w:pStyle w:val="TableParagraph"/>
              <w:spacing w:before="20"/>
              <w:ind w:right="68"/>
              <w:jc w:val="right"/>
              <w:rPr>
                <w:sz w:val="16"/>
              </w:rPr>
            </w:pPr>
            <w:r>
              <w:rPr>
                <w:spacing w:val="-2"/>
                <w:sz w:val="16"/>
              </w:rPr>
              <w:t>459.707.065,00</w:t>
            </w:r>
          </w:p>
        </w:tc>
        <w:tc>
          <w:tcPr>
            <w:tcW w:w="140" w:type="dxa"/>
          </w:tcPr>
          <w:p>
            <w:pPr>
              <w:pStyle w:val="TableParagraph"/>
              <w:rPr>
                <w:sz w:val="16"/>
              </w:rPr>
            </w:pPr>
          </w:p>
        </w:tc>
        <w:tc>
          <w:tcPr>
            <w:tcW w:w="1442" w:type="dxa"/>
            <w:tcBorders>
              <w:top w:val="single" w:sz="8" w:space="0" w:color="000000"/>
              <w:bottom w:val="single" w:sz="12" w:space="0" w:color="000000"/>
            </w:tcBorders>
          </w:tcPr>
          <w:p>
            <w:pPr>
              <w:pStyle w:val="TableParagraph"/>
              <w:spacing w:before="20"/>
              <w:ind w:right="70"/>
              <w:jc w:val="right"/>
              <w:rPr>
                <w:sz w:val="16"/>
              </w:rPr>
            </w:pPr>
            <w:r>
              <w:rPr>
                <w:spacing w:val="-2"/>
                <w:sz w:val="16"/>
              </w:rPr>
              <w:t>358.646.576,00</w:t>
            </w:r>
          </w:p>
        </w:tc>
      </w:tr>
      <w:tr>
        <w:trPr>
          <w:trHeight w:val="228" w:hRule="atLeast"/>
        </w:trPr>
        <w:tc>
          <w:tcPr>
            <w:tcW w:w="3015" w:type="dxa"/>
          </w:tcPr>
          <w:p>
            <w:pPr>
              <w:pStyle w:val="TableParagraph"/>
              <w:spacing w:before="21"/>
              <w:ind w:right="1"/>
              <w:jc w:val="center"/>
              <w:rPr>
                <w:b/>
                <w:sz w:val="16"/>
              </w:rPr>
            </w:pPr>
            <w:r>
              <w:rPr>
                <w:b/>
                <w:spacing w:val="-2"/>
                <w:sz w:val="16"/>
              </w:rPr>
              <w:t>Total</w:t>
            </w:r>
          </w:p>
        </w:tc>
        <w:tc>
          <w:tcPr>
            <w:tcW w:w="288" w:type="dxa"/>
          </w:tcPr>
          <w:p>
            <w:pPr>
              <w:pStyle w:val="TableParagraph"/>
              <w:rPr>
                <w:sz w:val="16"/>
              </w:rPr>
            </w:pPr>
          </w:p>
        </w:tc>
        <w:tc>
          <w:tcPr>
            <w:tcW w:w="1402" w:type="dxa"/>
            <w:tcBorders>
              <w:top w:val="single" w:sz="12" w:space="0" w:color="000000"/>
              <w:bottom w:val="double" w:sz="6" w:space="0" w:color="000000"/>
            </w:tcBorders>
          </w:tcPr>
          <w:p>
            <w:pPr>
              <w:pStyle w:val="TableParagraph"/>
              <w:spacing w:before="21"/>
              <w:ind w:right="68"/>
              <w:jc w:val="right"/>
              <w:rPr>
                <w:b/>
                <w:sz w:val="16"/>
              </w:rPr>
            </w:pPr>
            <w:r>
              <w:rPr>
                <w:b/>
                <w:spacing w:val="-2"/>
                <w:sz w:val="16"/>
              </w:rPr>
              <w:t>459.707.065,00</w:t>
            </w:r>
          </w:p>
        </w:tc>
        <w:tc>
          <w:tcPr>
            <w:tcW w:w="140" w:type="dxa"/>
          </w:tcPr>
          <w:p>
            <w:pPr>
              <w:pStyle w:val="TableParagraph"/>
              <w:rPr>
                <w:sz w:val="16"/>
              </w:rPr>
            </w:pPr>
          </w:p>
        </w:tc>
        <w:tc>
          <w:tcPr>
            <w:tcW w:w="1442" w:type="dxa"/>
            <w:tcBorders>
              <w:top w:val="single" w:sz="12" w:space="0" w:color="000000"/>
              <w:bottom w:val="double" w:sz="6" w:space="0" w:color="000000"/>
            </w:tcBorders>
          </w:tcPr>
          <w:p>
            <w:pPr>
              <w:pStyle w:val="TableParagraph"/>
              <w:spacing w:before="21"/>
              <w:ind w:right="70"/>
              <w:jc w:val="right"/>
              <w:rPr>
                <w:b/>
                <w:sz w:val="16"/>
              </w:rPr>
            </w:pPr>
            <w:r>
              <w:rPr>
                <w:b/>
                <w:spacing w:val="-2"/>
                <w:sz w:val="16"/>
              </w:rPr>
              <w:t>358.646.576,00</w:t>
            </w:r>
          </w:p>
        </w:tc>
      </w:tr>
    </w:tbl>
    <w:p>
      <w:pPr>
        <w:pStyle w:val="BodyText"/>
        <w:spacing w:before="59"/>
        <w:rPr>
          <w:b/>
          <w:sz w:val="16"/>
        </w:rPr>
      </w:pPr>
    </w:p>
    <w:p>
      <w:pPr>
        <w:pStyle w:val="BodyText"/>
        <w:ind w:left="567" w:right="1131"/>
        <w:jc w:val="both"/>
      </w:pPr>
      <w:r>
        <w:rPr/>
        <w:t>La totalidad de los pasivos financieros a largo plazo a coste que tiene la sociedad se corresponden con el</w:t>
      </w:r>
      <w:r>
        <w:rPr>
          <w:spacing w:val="-12"/>
        </w:rPr>
        <w:t> </w:t>
      </w:r>
      <w:r>
        <w:rPr/>
        <w:t>nominal</w:t>
      </w:r>
      <w:r>
        <w:rPr>
          <w:spacing w:val="-11"/>
        </w:rPr>
        <w:t> </w:t>
      </w:r>
      <w:r>
        <w:rPr/>
        <w:t>de</w:t>
      </w:r>
      <w:r>
        <w:rPr>
          <w:spacing w:val="-13"/>
        </w:rPr>
        <w:t> </w:t>
      </w:r>
      <w:r>
        <w:rPr/>
        <w:t>préstamos</w:t>
      </w:r>
      <w:r>
        <w:rPr>
          <w:spacing w:val="-12"/>
        </w:rPr>
        <w:t> </w:t>
      </w:r>
      <w:r>
        <w:rPr/>
        <w:t>participativos</w:t>
      </w:r>
      <w:r>
        <w:rPr>
          <w:spacing w:val="-12"/>
        </w:rPr>
        <w:t> </w:t>
      </w:r>
      <w:r>
        <w:rPr/>
        <w:t>y</w:t>
      </w:r>
      <w:r>
        <w:rPr>
          <w:spacing w:val="-11"/>
        </w:rPr>
        <w:t> </w:t>
      </w:r>
      <w:r>
        <w:rPr/>
        <w:t>con</w:t>
      </w:r>
      <w:r>
        <w:rPr>
          <w:spacing w:val="-11"/>
        </w:rPr>
        <w:t> </w:t>
      </w:r>
      <w:r>
        <w:rPr/>
        <w:t>los</w:t>
      </w:r>
      <w:r>
        <w:rPr>
          <w:spacing w:val="-13"/>
        </w:rPr>
        <w:t> </w:t>
      </w:r>
      <w:r>
        <w:rPr/>
        <w:t>intereses</w:t>
      </w:r>
      <w:r>
        <w:rPr>
          <w:spacing w:val="-12"/>
        </w:rPr>
        <w:t> </w:t>
      </w:r>
      <w:r>
        <w:rPr/>
        <w:t>devengados</w:t>
      </w:r>
      <w:r>
        <w:rPr>
          <w:spacing w:val="-12"/>
        </w:rPr>
        <w:t> </w:t>
      </w:r>
      <w:r>
        <w:rPr/>
        <w:t>y</w:t>
      </w:r>
      <w:r>
        <w:rPr>
          <w:spacing w:val="-11"/>
        </w:rPr>
        <w:t> </w:t>
      </w:r>
      <w:r>
        <w:rPr/>
        <w:t>no</w:t>
      </w:r>
      <w:r>
        <w:rPr>
          <w:spacing w:val="-12"/>
        </w:rPr>
        <w:t> </w:t>
      </w:r>
      <w:r>
        <w:rPr/>
        <w:t>abonados</w:t>
      </w:r>
      <w:r>
        <w:rPr>
          <w:spacing w:val="-12"/>
        </w:rPr>
        <w:t> </w:t>
      </w:r>
      <w:r>
        <w:rPr/>
        <w:t>de</w:t>
      </w:r>
      <w:r>
        <w:rPr>
          <w:spacing w:val="-11"/>
        </w:rPr>
        <w:t> </w:t>
      </w:r>
      <w:r>
        <w:rPr/>
        <w:t>los</w:t>
      </w:r>
      <w:r>
        <w:rPr>
          <w:spacing w:val="-12"/>
        </w:rPr>
        <w:t> </w:t>
      </w:r>
      <w:r>
        <w:rPr/>
        <w:t>mismos</w:t>
      </w:r>
      <w:r>
        <w:rPr>
          <w:spacing w:val="-6"/>
        </w:rPr>
        <w:t> </w:t>
      </w:r>
      <w:r>
        <w:rPr/>
        <w:t>(ver nota 14)</w:t>
      </w:r>
    </w:p>
    <w:p>
      <w:pPr>
        <w:pStyle w:val="BodyText"/>
        <w:spacing w:line="247" w:lineRule="auto" w:before="252"/>
        <w:ind w:left="568" w:right="838"/>
        <w:jc w:val="both"/>
      </w:pPr>
      <w:r>
        <w:rPr/>
        <w:t>Los</w:t>
      </w:r>
      <w:r>
        <w:rPr>
          <w:spacing w:val="-8"/>
        </w:rPr>
        <w:t> </w:t>
      </w:r>
      <w:r>
        <w:rPr/>
        <w:t>préstamos</w:t>
      </w:r>
      <w:r>
        <w:rPr>
          <w:spacing w:val="-8"/>
        </w:rPr>
        <w:t> </w:t>
      </w:r>
      <w:r>
        <w:rPr/>
        <w:t>participativos</w:t>
      </w:r>
      <w:r>
        <w:rPr>
          <w:spacing w:val="-8"/>
        </w:rPr>
        <w:t> </w:t>
      </w:r>
      <w:r>
        <w:rPr/>
        <w:t>concedidos</w:t>
      </w:r>
      <w:r>
        <w:rPr>
          <w:spacing w:val="-9"/>
        </w:rPr>
        <w:t> </w:t>
      </w:r>
      <w:r>
        <w:rPr/>
        <w:t>a</w:t>
      </w:r>
      <w:r>
        <w:rPr>
          <w:spacing w:val="-8"/>
        </w:rPr>
        <w:t> </w:t>
      </w:r>
      <w:r>
        <w:rPr/>
        <w:t>la</w:t>
      </w:r>
      <w:r>
        <w:rPr>
          <w:spacing w:val="-8"/>
        </w:rPr>
        <w:t> </w:t>
      </w:r>
      <w:r>
        <w:rPr/>
        <w:t>Sociedad</w:t>
      </w:r>
      <w:r>
        <w:rPr>
          <w:spacing w:val="-8"/>
        </w:rPr>
        <w:t> </w:t>
      </w:r>
      <w:r>
        <w:rPr/>
        <w:t>han</w:t>
      </w:r>
      <w:r>
        <w:rPr>
          <w:spacing w:val="-7"/>
        </w:rPr>
        <w:t> </w:t>
      </w:r>
      <w:r>
        <w:rPr/>
        <w:t>devengado</w:t>
      </w:r>
      <w:r>
        <w:rPr>
          <w:spacing w:val="-4"/>
        </w:rPr>
        <w:t> </w:t>
      </w:r>
      <w:r>
        <w:rPr/>
        <w:t>intereses</w:t>
      </w:r>
      <w:r>
        <w:rPr>
          <w:spacing w:val="-7"/>
        </w:rPr>
        <w:t> </w:t>
      </w:r>
      <w:r>
        <w:rPr/>
        <w:t>durante</w:t>
      </w:r>
      <w:r>
        <w:rPr>
          <w:spacing w:val="-7"/>
        </w:rPr>
        <w:t> </w:t>
      </w:r>
      <w:r>
        <w:rPr/>
        <w:t>los</w:t>
      </w:r>
      <w:r>
        <w:rPr>
          <w:spacing w:val="-8"/>
        </w:rPr>
        <w:t> </w:t>
      </w:r>
      <w:r>
        <w:rPr/>
        <w:t>ejercicios</w:t>
      </w:r>
      <w:r>
        <w:rPr>
          <w:spacing w:val="-8"/>
        </w:rPr>
        <w:t> </w:t>
      </w:r>
      <w:r>
        <w:rPr/>
        <w:t>2025 y 2024 por importe de 1.060.489,00 euros y 406.972,00 euros, respectivamente, según el tipo de interés fijado en el contrato.</w:t>
      </w:r>
    </w:p>
    <w:p>
      <w:pPr>
        <w:pStyle w:val="BodyText"/>
        <w:spacing w:before="194"/>
      </w:pPr>
    </w:p>
    <w:p>
      <w:pPr>
        <w:pStyle w:val="ListParagraph"/>
        <w:numPr>
          <w:ilvl w:val="0"/>
          <w:numId w:val="10"/>
        </w:numPr>
        <w:tabs>
          <w:tab w:pos="991" w:val="left" w:leader="none"/>
        </w:tabs>
        <w:spacing w:line="240" w:lineRule="auto" w:before="1" w:after="0"/>
        <w:ind w:left="991" w:right="0" w:hanging="358"/>
        <w:jc w:val="left"/>
        <w:rPr>
          <w:sz w:val="22"/>
        </w:rPr>
      </w:pPr>
      <w:r>
        <w:rPr>
          <w:sz w:val="22"/>
          <w:u w:val="single"/>
        </w:rPr>
        <w:t>Pasivos</w:t>
      </w:r>
      <w:r>
        <w:rPr>
          <w:spacing w:val="-13"/>
          <w:sz w:val="22"/>
          <w:u w:val="single"/>
        </w:rPr>
        <w:t> </w:t>
      </w:r>
      <w:r>
        <w:rPr>
          <w:sz w:val="22"/>
          <w:u w:val="single"/>
        </w:rPr>
        <w:t>financieros</w:t>
      </w:r>
      <w:r>
        <w:rPr>
          <w:spacing w:val="-13"/>
          <w:sz w:val="22"/>
          <w:u w:val="single"/>
        </w:rPr>
        <w:t> </w:t>
      </w:r>
      <w:r>
        <w:rPr>
          <w:spacing w:val="-2"/>
          <w:sz w:val="22"/>
          <w:u w:val="single"/>
        </w:rPr>
        <w:t>corrientes:</w:t>
      </w:r>
    </w:p>
    <w:p>
      <w:pPr>
        <w:pStyle w:val="BodyText"/>
      </w:pPr>
    </w:p>
    <w:p>
      <w:pPr>
        <w:pStyle w:val="BodyText"/>
        <w:ind w:left="570"/>
      </w:pPr>
      <w:r>
        <w:rPr/>
        <w:t>El</w:t>
      </w:r>
      <w:r>
        <w:rPr>
          <w:spacing w:val="-5"/>
        </w:rPr>
        <w:t> </w:t>
      </w:r>
      <w:r>
        <w:rPr/>
        <w:t>detalle</w:t>
      </w:r>
      <w:r>
        <w:rPr>
          <w:spacing w:val="-6"/>
        </w:rPr>
        <w:t> </w:t>
      </w:r>
      <w:r>
        <w:rPr/>
        <w:t>de</w:t>
      </w:r>
      <w:r>
        <w:rPr>
          <w:spacing w:val="-6"/>
        </w:rPr>
        <w:t> </w:t>
      </w:r>
      <w:r>
        <w:rPr/>
        <w:t>los</w:t>
      </w:r>
      <w:r>
        <w:rPr>
          <w:spacing w:val="-5"/>
        </w:rPr>
        <w:t> </w:t>
      </w:r>
      <w:r>
        <w:rPr/>
        <w:t>pasivos</w:t>
      </w:r>
      <w:r>
        <w:rPr>
          <w:spacing w:val="-6"/>
        </w:rPr>
        <w:t> </w:t>
      </w:r>
      <w:r>
        <w:rPr/>
        <w:t>financieros</w:t>
      </w:r>
      <w:r>
        <w:rPr>
          <w:spacing w:val="-6"/>
        </w:rPr>
        <w:t> </w:t>
      </w:r>
      <w:r>
        <w:rPr/>
        <w:t>a</w:t>
      </w:r>
      <w:r>
        <w:rPr>
          <w:spacing w:val="-6"/>
        </w:rPr>
        <w:t> </w:t>
      </w:r>
      <w:r>
        <w:rPr/>
        <w:t>corto</w:t>
      </w:r>
      <w:r>
        <w:rPr>
          <w:spacing w:val="-4"/>
        </w:rPr>
        <w:t> </w:t>
      </w:r>
      <w:r>
        <w:rPr/>
        <w:t>plazo</w:t>
      </w:r>
      <w:r>
        <w:rPr>
          <w:spacing w:val="-3"/>
        </w:rPr>
        <w:t> </w:t>
      </w:r>
      <w:r>
        <w:rPr/>
        <w:t>es</w:t>
      </w:r>
      <w:r>
        <w:rPr>
          <w:spacing w:val="-5"/>
        </w:rPr>
        <w:t> </w:t>
      </w:r>
      <w:r>
        <w:rPr/>
        <w:t>el</w:t>
      </w:r>
      <w:r>
        <w:rPr>
          <w:spacing w:val="-6"/>
        </w:rPr>
        <w:t> </w:t>
      </w:r>
      <w:r>
        <w:rPr>
          <w:spacing w:val="-2"/>
        </w:rPr>
        <w:t>siguiente:</w:t>
      </w:r>
    </w:p>
    <w:p>
      <w:pPr>
        <w:pStyle w:val="BodyText"/>
        <w:spacing w:before="91"/>
        <w:rPr>
          <w:sz w:val="16"/>
        </w:rPr>
      </w:pPr>
    </w:p>
    <w:p>
      <w:pPr>
        <w:spacing w:before="0" w:after="32"/>
        <w:ind w:left="6288" w:right="0" w:firstLine="0"/>
        <w:jc w:val="left"/>
        <w:rPr>
          <w:b/>
          <w:sz w:val="16"/>
        </w:rPr>
      </w:pPr>
      <w:r>
        <w:rPr>
          <w:b/>
          <w:sz w:val="16"/>
        </w:rPr>
        <w:t>Otros</w:t>
      </w:r>
      <w:r>
        <w:rPr>
          <w:b/>
          <w:spacing w:val="-8"/>
          <w:sz w:val="16"/>
        </w:rPr>
        <w:t> </w:t>
      </w:r>
      <w:r>
        <w:rPr>
          <w:b/>
          <w:sz w:val="16"/>
        </w:rPr>
        <w:t>pasivos</w:t>
      </w:r>
      <w:r>
        <w:rPr>
          <w:b/>
          <w:spacing w:val="-8"/>
          <w:sz w:val="16"/>
        </w:rPr>
        <w:t> </w:t>
      </w:r>
      <w:r>
        <w:rPr>
          <w:b/>
          <w:spacing w:val="-2"/>
          <w:sz w:val="16"/>
        </w:rPr>
        <w:t>financieros</w:t>
      </w:r>
    </w:p>
    <w:tbl>
      <w:tblPr>
        <w:tblW w:w="0" w:type="auto"/>
        <w:jc w:val="left"/>
        <w:tblInd w:w="2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87"/>
        <w:gridCol w:w="288"/>
        <w:gridCol w:w="1355"/>
        <w:gridCol w:w="139"/>
        <w:gridCol w:w="1447"/>
      </w:tblGrid>
      <w:tr>
        <w:trPr>
          <w:trHeight w:val="227" w:hRule="atLeast"/>
        </w:trPr>
        <w:tc>
          <w:tcPr>
            <w:tcW w:w="3087" w:type="dxa"/>
            <w:tcBorders>
              <w:bottom w:val="single" w:sz="8" w:space="0" w:color="000000"/>
            </w:tcBorders>
          </w:tcPr>
          <w:p>
            <w:pPr>
              <w:pStyle w:val="TableParagraph"/>
              <w:spacing w:before="20"/>
              <w:ind w:left="70"/>
              <w:rPr>
                <w:b/>
                <w:sz w:val="16"/>
              </w:rPr>
            </w:pPr>
            <w:r>
              <w:rPr>
                <w:b/>
                <w:spacing w:val="-2"/>
                <w:sz w:val="16"/>
              </w:rPr>
              <w:t>Categorías:</w:t>
            </w:r>
          </w:p>
        </w:tc>
        <w:tc>
          <w:tcPr>
            <w:tcW w:w="288" w:type="dxa"/>
          </w:tcPr>
          <w:p>
            <w:pPr>
              <w:pStyle w:val="TableParagraph"/>
              <w:rPr>
                <w:sz w:val="16"/>
              </w:rPr>
            </w:pPr>
          </w:p>
        </w:tc>
        <w:tc>
          <w:tcPr>
            <w:tcW w:w="1355" w:type="dxa"/>
            <w:tcBorders>
              <w:top w:val="single" w:sz="8" w:space="0" w:color="000000"/>
              <w:bottom w:val="single" w:sz="8" w:space="0" w:color="000000"/>
            </w:tcBorders>
          </w:tcPr>
          <w:p>
            <w:pPr>
              <w:pStyle w:val="TableParagraph"/>
              <w:spacing w:before="20"/>
              <w:ind w:left="520"/>
              <w:rPr>
                <w:b/>
                <w:sz w:val="16"/>
              </w:rPr>
            </w:pPr>
            <w:r>
              <w:rPr>
                <w:b/>
                <w:spacing w:val="-4"/>
                <w:sz w:val="16"/>
              </w:rPr>
              <w:t>2025</w:t>
            </w:r>
          </w:p>
        </w:tc>
        <w:tc>
          <w:tcPr>
            <w:tcW w:w="139" w:type="dxa"/>
            <w:tcBorders>
              <w:top w:val="single" w:sz="8" w:space="0" w:color="000000"/>
            </w:tcBorders>
          </w:tcPr>
          <w:p>
            <w:pPr>
              <w:pStyle w:val="TableParagraph"/>
              <w:rPr>
                <w:sz w:val="16"/>
              </w:rPr>
            </w:pPr>
          </w:p>
        </w:tc>
        <w:tc>
          <w:tcPr>
            <w:tcW w:w="1447" w:type="dxa"/>
            <w:tcBorders>
              <w:top w:val="single" w:sz="8" w:space="0" w:color="000000"/>
              <w:bottom w:val="single" w:sz="8" w:space="0" w:color="000000"/>
            </w:tcBorders>
          </w:tcPr>
          <w:p>
            <w:pPr>
              <w:pStyle w:val="TableParagraph"/>
              <w:spacing w:before="20"/>
              <w:ind w:left="566"/>
              <w:rPr>
                <w:b/>
                <w:sz w:val="16"/>
              </w:rPr>
            </w:pPr>
            <w:r>
              <w:rPr>
                <w:b/>
                <w:spacing w:val="-4"/>
                <w:sz w:val="16"/>
              </w:rPr>
              <w:t>2024</w:t>
            </w:r>
          </w:p>
        </w:tc>
      </w:tr>
      <w:tr>
        <w:trPr>
          <w:trHeight w:val="226" w:hRule="atLeast"/>
        </w:trPr>
        <w:tc>
          <w:tcPr>
            <w:tcW w:w="3087" w:type="dxa"/>
            <w:tcBorders>
              <w:top w:val="single" w:sz="8" w:space="0" w:color="000000"/>
            </w:tcBorders>
          </w:tcPr>
          <w:p>
            <w:pPr>
              <w:pStyle w:val="TableParagraph"/>
              <w:spacing w:before="20"/>
              <w:ind w:left="70"/>
              <w:rPr>
                <w:sz w:val="16"/>
              </w:rPr>
            </w:pPr>
            <w:r>
              <w:rPr>
                <w:sz w:val="16"/>
              </w:rPr>
              <w:t>Pasivos</w:t>
            </w:r>
            <w:r>
              <w:rPr>
                <w:spacing w:val="-7"/>
                <w:sz w:val="16"/>
              </w:rPr>
              <w:t> </w:t>
            </w:r>
            <w:r>
              <w:rPr>
                <w:sz w:val="16"/>
              </w:rPr>
              <w:t>financieros</w:t>
            </w:r>
            <w:r>
              <w:rPr>
                <w:spacing w:val="-7"/>
                <w:sz w:val="16"/>
              </w:rPr>
              <w:t> </w:t>
            </w:r>
            <w:r>
              <w:rPr>
                <w:sz w:val="16"/>
              </w:rPr>
              <w:t>a</w:t>
            </w:r>
            <w:r>
              <w:rPr>
                <w:spacing w:val="-7"/>
                <w:sz w:val="16"/>
              </w:rPr>
              <w:t> </w:t>
            </w:r>
            <w:r>
              <w:rPr>
                <w:sz w:val="16"/>
              </w:rPr>
              <w:t>coste</w:t>
            </w:r>
            <w:r>
              <w:rPr>
                <w:spacing w:val="-6"/>
                <w:sz w:val="16"/>
              </w:rPr>
              <w:t> </w:t>
            </w:r>
            <w:r>
              <w:rPr>
                <w:spacing w:val="-2"/>
                <w:sz w:val="16"/>
              </w:rPr>
              <w:t>amortizado</w:t>
            </w:r>
          </w:p>
        </w:tc>
        <w:tc>
          <w:tcPr>
            <w:tcW w:w="288" w:type="dxa"/>
          </w:tcPr>
          <w:p>
            <w:pPr>
              <w:pStyle w:val="TableParagraph"/>
              <w:rPr>
                <w:sz w:val="16"/>
              </w:rPr>
            </w:pPr>
          </w:p>
        </w:tc>
        <w:tc>
          <w:tcPr>
            <w:tcW w:w="1355" w:type="dxa"/>
            <w:tcBorders>
              <w:top w:val="single" w:sz="8" w:space="0" w:color="000000"/>
              <w:bottom w:val="single" w:sz="12" w:space="0" w:color="000000"/>
            </w:tcBorders>
          </w:tcPr>
          <w:p>
            <w:pPr>
              <w:pStyle w:val="TableParagraph"/>
              <w:spacing w:before="20"/>
              <w:ind w:left="565"/>
              <w:rPr>
                <w:sz w:val="16"/>
              </w:rPr>
            </w:pPr>
            <w:r>
              <w:rPr>
                <w:spacing w:val="-2"/>
                <w:sz w:val="16"/>
              </w:rPr>
              <w:t>881.372,39</w:t>
            </w:r>
          </w:p>
        </w:tc>
        <w:tc>
          <w:tcPr>
            <w:tcW w:w="139" w:type="dxa"/>
          </w:tcPr>
          <w:p>
            <w:pPr>
              <w:pStyle w:val="TableParagraph"/>
              <w:rPr>
                <w:sz w:val="16"/>
              </w:rPr>
            </w:pPr>
          </w:p>
        </w:tc>
        <w:tc>
          <w:tcPr>
            <w:tcW w:w="1447" w:type="dxa"/>
            <w:tcBorders>
              <w:top w:val="single" w:sz="8" w:space="0" w:color="000000"/>
              <w:bottom w:val="single" w:sz="12" w:space="0" w:color="000000"/>
            </w:tcBorders>
          </w:tcPr>
          <w:p>
            <w:pPr>
              <w:pStyle w:val="TableParagraph"/>
              <w:spacing w:before="20"/>
              <w:ind w:left="537"/>
              <w:rPr>
                <w:sz w:val="16"/>
              </w:rPr>
            </w:pPr>
            <w:r>
              <w:rPr>
                <w:spacing w:val="-2"/>
                <w:sz w:val="16"/>
              </w:rPr>
              <w:t>2.390.910,70</w:t>
            </w:r>
          </w:p>
        </w:tc>
      </w:tr>
      <w:tr>
        <w:trPr>
          <w:trHeight w:val="228" w:hRule="atLeast"/>
        </w:trPr>
        <w:tc>
          <w:tcPr>
            <w:tcW w:w="3087" w:type="dxa"/>
          </w:tcPr>
          <w:p>
            <w:pPr>
              <w:pStyle w:val="TableParagraph"/>
              <w:spacing w:before="21"/>
              <w:jc w:val="center"/>
              <w:rPr>
                <w:b/>
                <w:sz w:val="16"/>
              </w:rPr>
            </w:pPr>
            <w:r>
              <w:rPr>
                <w:b/>
                <w:spacing w:val="-2"/>
                <w:sz w:val="16"/>
              </w:rPr>
              <w:t>Total</w:t>
            </w:r>
          </w:p>
        </w:tc>
        <w:tc>
          <w:tcPr>
            <w:tcW w:w="288" w:type="dxa"/>
          </w:tcPr>
          <w:p>
            <w:pPr>
              <w:pStyle w:val="TableParagraph"/>
              <w:rPr>
                <w:sz w:val="16"/>
              </w:rPr>
            </w:pPr>
          </w:p>
        </w:tc>
        <w:tc>
          <w:tcPr>
            <w:tcW w:w="1355" w:type="dxa"/>
            <w:tcBorders>
              <w:top w:val="single" w:sz="12" w:space="0" w:color="000000"/>
              <w:bottom w:val="double" w:sz="6" w:space="0" w:color="000000"/>
            </w:tcBorders>
          </w:tcPr>
          <w:p>
            <w:pPr>
              <w:pStyle w:val="TableParagraph"/>
              <w:spacing w:before="21"/>
              <w:ind w:left="565"/>
              <w:rPr>
                <w:b/>
                <w:sz w:val="16"/>
              </w:rPr>
            </w:pPr>
            <w:r>
              <w:rPr>
                <w:b/>
                <w:spacing w:val="-2"/>
                <w:sz w:val="16"/>
              </w:rPr>
              <w:t>881.372,39</w:t>
            </w:r>
          </w:p>
        </w:tc>
        <w:tc>
          <w:tcPr>
            <w:tcW w:w="139" w:type="dxa"/>
          </w:tcPr>
          <w:p>
            <w:pPr>
              <w:pStyle w:val="TableParagraph"/>
              <w:rPr>
                <w:sz w:val="16"/>
              </w:rPr>
            </w:pPr>
          </w:p>
        </w:tc>
        <w:tc>
          <w:tcPr>
            <w:tcW w:w="1447" w:type="dxa"/>
            <w:tcBorders>
              <w:top w:val="single" w:sz="12" w:space="0" w:color="000000"/>
              <w:bottom w:val="double" w:sz="6" w:space="0" w:color="000000"/>
            </w:tcBorders>
          </w:tcPr>
          <w:p>
            <w:pPr>
              <w:pStyle w:val="TableParagraph"/>
              <w:spacing w:before="21"/>
              <w:ind w:left="537"/>
              <w:rPr>
                <w:b/>
                <w:sz w:val="16"/>
              </w:rPr>
            </w:pPr>
            <w:r>
              <w:rPr>
                <w:b/>
                <w:spacing w:val="-2"/>
                <w:sz w:val="16"/>
              </w:rPr>
              <w:t>2.390.910,70</w:t>
            </w:r>
          </w:p>
        </w:tc>
      </w:tr>
    </w:tbl>
    <w:p>
      <w:pPr>
        <w:pStyle w:val="TableParagraph"/>
        <w:spacing w:after="0"/>
        <w:rPr>
          <w:b/>
          <w:sz w:val="16"/>
        </w:rPr>
        <w:sectPr>
          <w:pgSz w:w="11910" w:h="16840"/>
          <w:pgMar w:header="694" w:footer="690" w:top="1920" w:bottom="880" w:left="708" w:right="425"/>
        </w:sectPr>
      </w:pPr>
    </w:p>
    <w:p>
      <w:pPr>
        <w:pStyle w:val="ListParagraph"/>
        <w:numPr>
          <w:ilvl w:val="0"/>
          <w:numId w:val="10"/>
        </w:numPr>
        <w:tabs>
          <w:tab w:pos="992" w:val="left" w:leader="none"/>
        </w:tabs>
        <w:spacing w:line="240" w:lineRule="auto" w:before="186" w:after="0"/>
        <w:ind w:left="992" w:right="0" w:hanging="359"/>
        <w:jc w:val="left"/>
        <w:rPr>
          <w:sz w:val="22"/>
        </w:rPr>
      </w:pPr>
      <w:r>
        <w:rPr>
          <w:sz w:val="22"/>
          <w:u w:val="single"/>
        </w:rPr>
        <w:t>Clasificación</w:t>
      </w:r>
      <w:r>
        <w:rPr>
          <w:spacing w:val="-7"/>
          <w:sz w:val="22"/>
          <w:u w:val="single"/>
        </w:rPr>
        <w:t> </w:t>
      </w:r>
      <w:r>
        <w:rPr>
          <w:sz w:val="22"/>
          <w:u w:val="single"/>
        </w:rPr>
        <w:t>por</w:t>
      </w:r>
      <w:r>
        <w:rPr>
          <w:spacing w:val="-7"/>
          <w:sz w:val="22"/>
          <w:u w:val="single"/>
        </w:rPr>
        <w:t> </w:t>
      </w:r>
      <w:r>
        <w:rPr>
          <w:sz w:val="22"/>
          <w:u w:val="single"/>
        </w:rPr>
        <w:t>vencimientos</w:t>
      </w:r>
      <w:r>
        <w:rPr>
          <w:spacing w:val="-7"/>
          <w:sz w:val="22"/>
          <w:u w:val="single"/>
        </w:rPr>
        <w:t> </w:t>
      </w:r>
      <w:r>
        <w:rPr>
          <w:sz w:val="22"/>
          <w:u w:val="single"/>
        </w:rPr>
        <w:t>de</w:t>
      </w:r>
      <w:r>
        <w:rPr>
          <w:spacing w:val="-8"/>
          <w:sz w:val="22"/>
          <w:u w:val="single"/>
        </w:rPr>
        <w:t> </w:t>
      </w:r>
      <w:r>
        <w:rPr>
          <w:sz w:val="22"/>
          <w:u w:val="single"/>
        </w:rPr>
        <w:t>los</w:t>
      </w:r>
      <w:r>
        <w:rPr>
          <w:spacing w:val="-7"/>
          <w:sz w:val="22"/>
          <w:u w:val="single"/>
        </w:rPr>
        <w:t> </w:t>
      </w:r>
      <w:r>
        <w:rPr>
          <w:sz w:val="22"/>
          <w:u w:val="single"/>
        </w:rPr>
        <w:t>pasivos</w:t>
      </w:r>
      <w:r>
        <w:rPr>
          <w:spacing w:val="-8"/>
          <w:sz w:val="22"/>
          <w:u w:val="single"/>
        </w:rPr>
        <w:t> </w:t>
      </w:r>
      <w:r>
        <w:rPr>
          <w:spacing w:val="-2"/>
          <w:sz w:val="22"/>
          <w:u w:val="single"/>
        </w:rPr>
        <w:t>financieros</w:t>
      </w:r>
    </w:p>
    <w:p>
      <w:pPr>
        <w:pStyle w:val="BodyText"/>
        <w:spacing w:before="1"/>
      </w:pPr>
    </w:p>
    <w:p>
      <w:pPr>
        <w:pStyle w:val="BodyText"/>
        <w:ind w:left="570" w:right="794"/>
      </w:pPr>
      <w:r>
        <w:rPr/>
        <w:t>La clasificación por vencimiento de los pasivos financieros de la Sociedad, se detallan en el siguiente</w:t>
      </w:r>
      <w:r>
        <w:rPr>
          <w:spacing w:val="80"/>
        </w:rPr>
        <w:t> </w:t>
      </w:r>
      <w:r>
        <w:rPr>
          <w:spacing w:val="-2"/>
        </w:rPr>
        <w:t>cuadro:</w:t>
      </w:r>
    </w:p>
    <w:p>
      <w:pPr>
        <w:pStyle w:val="BodyText"/>
        <w:spacing w:before="24"/>
        <w:rPr>
          <w:sz w:val="20"/>
        </w:rPr>
      </w:pPr>
    </w:p>
    <w:tbl>
      <w:tblPr>
        <w:tblW w:w="0" w:type="auto"/>
        <w:jc w:val="left"/>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33"/>
        <w:gridCol w:w="1079"/>
        <w:gridCol w:w="1078"/>
        <w:gridCol w:w="1078"/>
        <w:gridCol w:w="1079"/>
        <w:gridCol w:w="1078"/>
        <w:gridCol w:w="1168"/>
        <w:gridCol w:w="1275"/>
      </w:tblGrid>
      <w:tr>
        <w:trPr>
          <w:trHeight w:val="228" w:hRule="atLeast"/>
        </w:trPr>
        <w:tc>
          <w:tcPr>
            <w:tcW w:w="2033" w:type="dxa"/>
          </w:tcPr>
          <w:p>
            <w:pPr>
              <w:pStyle w:val="TableParagraph"/>
              <w:spacing w:before="22"/>
              <w:ind w:left="10" w:right="1"/>
              <w:jc w:val="center"/>
              <w:rPr>
                <w:b/>
                <w:sz w:val="16"/>
              </w:rPr>
            </w:pPr>
            <w:r>
              <w:rPr>
                <w:b/>
                <w:spacing w:val="-2"/>
                <w:sz w:val="16"/>
              </w:rPr>
              <w:t>Concepto</w:t>
            </w:r>
          </w:p>
        </w:tc>
        <w:tc>
          <w:tcPr>
            <w:tcW w:w="1079" w:type="dxa"/>
          </w:tcPr>
          <w:p>
            <w:pPr>
              <w:pStyle w:val="TableParagraph"/>
              <w:spacing w:before="22"/>
              <w:ind w:left="11"/>
              <w:jc w:val="center"/>
              <w:rPr>
                <w:b/>
                <w:sz w:val="16"/>
              </w:rPr>
            </w:pPr>
            <w:r>
              <w:rPr>
                <w:b/>
                <w:spacing w:val="-4"/>
                <w:sz w:val="16"/>
              </w:rPr>
              <w:t>2026</w:t>
            </w:r>
          </w:p>
        </w:tc>
        <w:tc>
          <w:tcPr>
            <w:tcW w:w="1078" w:type="dxa"/>
          </w:tcPr>
          <w:p>
            <w:pPr>
              <w:pStyle w:val="TableParagraph"/>
              <w:spacing w:before="22"/>
              <w:ind w:left="9"/>
              <w:jc w:val="center"/>
              <w:rPr>
                <w:b/>
                <w:sz w:val="16"/>
              </w:rPr>
            </w:pPr>
            <w:r>
              <w:rPr>
                <w:b/>
                <w:spacing w:val="-4"/>
                <w:sz w:val="16"/>
              </w:rPr>
              <w:t>2027</w:t>
            </w:r>
          </w:p>
        </w:tc>
        <w:tc>
          <w:tcPr>
            <w:tcW w:w="1078" w:type="dxa"/>
          </w:tcPr>
          <w:p>
            <w:pPr>
              <w:pStyle w:val="TableParagraph"/>
              <w:spacing w:before="22"/>
              <w:ind w:left="11"/>
              <w:jc w:val="center"/>
              <w:rPr>
                <w:b/>
                <w:sz w:val="16"/>
              </w:rPr>
            </w:pPr>
            <w:r>
              <w:rPr>
                <w:b/>
                <w:spacing w:val="-4"/>
                <w:sz w:val="16"/>
              </w:rPr>
              <w:t>2028</w:t>
            </w:r>
          </w:p>
        </w:tc>
        <w:tc>
          <w:tcPr>
            <w:tcW w:w="1079" w:type="dxa"/>
          </w:tcPr>
          <w:p>
            <w:pPr>
              <w:pStyle w:val="TableParagraph"/>
              <w:spacing w:before="22"/>
              <w:ind w:left="11" w:right="2"/>
              <w:jc w:val="center"/>
              <w:rPr>
                <w:b/>
                <w:sz w:val="16"/>
              </w:rPr>
            </w:pPr>
            <w:r>
              <w:rPr>
                <w:b/>
                <w:spacing w:val="-4"/>
                <w:sz w:val="16"/>
              </w:rPr>
              <w:t>2029</w:t>
            </w:r>
          </w:p>
        </w:tc>
        <w:tc>
          <w:tcPr>
            <w:tcW w:w="1078" w:type="dxa"/>
          </w:tcPr>
          <w:p>
            <w:pPr>
              <w:pStyle w:val="TableParagraph"/>
              <w:spacing w:before="22"/>
              <w:ind w:left="8"/>
              <w:jc w:val="center"/>
              <w:rPr>
                <w:b/>
                <w:sz w:val="16"/>
              </w:rPr>
            </w:pPr>
            <w:r>
              <w:rPr>
                <w:b/>
                <w:spacing w:val="-4"/>
                <w:sz w:val="16"/>
              </w:rPr>
              <w:t>2030</w:t>
            </w:r>
          </w:p>
        </w:tc>
        <w:tc>
          <w:tcPr>
            <w:tcW w:w="1168" w:type="dxa"/>
          </w:tcPr>
          <w:p>
            <w:pPr>
              <w:pStyle w:val="TableParagraph"/>
              <w:spacing w:before="22"/>
              <w:ind w:left="36" w:right="29"/>
              <w:jc w:val="center"/>
              <w:rPr>
                <w:b/>
                <w:sz w:val="16"/>
              </w:rPr>
            </w:pPr>
            <w:r>
              <w:rPr>
                <w:b/>
                <w:sz w:val="16"/>
              </w:rPr>
              <w:t>Resto</w:t>
            </w:r>
            <w:r>
              <w:rPr>
                <w:b/>
                <w:spacing w:val="-5"/>
                <w:sz w:val="16"/>
              </w:rPr>
              <w:t> </w:t>
            </w:r>
            <w:r>
              <w:rPr>
                <w:b/>
                <w:spacing w:val="-4"/>
                <w:sz w:val="16"/>
              </w:rPr>
              <w:t>años</w:t>
            </w:r>
          </w:p>
        </w:tc>
        <w:tc>
          <w:tcPr>
            <w:tcW w:w="1275" w:type="dxa"/>
          </w:tcPr>
          <w:p>
            <w:pPr>
              <w:pStyle w:val="TableParagraph"/>
              <w:spacing w:before="22"/>
              <w:ind w:left="5"/>
              <w:jc w:val="center"/>
              <w:rPr>
                <w:b/>
                <w:sz w:val="16"/>
              </w:rPr>
            </w:pPr>
            <w:r>
              <w:rPr>
                <w:b/>
                <w:spacing w:val="-2"/>
                <w:sz w:val="16"/>
              </w:rPr>
              <w:t>total</w:t>
            </w:r>
          </w:p>
        </w:tc>
      </w:tr>
      <w:tr>
        <w:trPr>
          <w:trHeight w:val="551" w:hRule="atLeast"/>
        </w:trPr>
        <w:tc>
          <w:tcPr>
            <w:tcW w:w="2033" w:type="dxa"/>
          </w:tcPr>
          <w:p>
            <w:pPr>
              <w:pStyle w:val="TableParagraph"/>
              <w:ind w:left="70"/>
              <w:rPr>
                <w:sz w:val="16"/>
              </w:rPr>
            </w:pPr>
            <w:r>
              <w:rPr>
                <w:sz w:val="16"/>
              </w:rPr>
              <w:t>Deudas</w:t>
            </w:r>
            <w:r>
              <w:rPr>
                <w:spacing w:val="77"/>
                <w:sz w:val="16"/>
              </w:rPr>
              <w:t> </w:t>
            </w:r>
            <w:r>
              <w:rPr>
                <w:sz w:val="16"/>
              </w:rPr>
              <w:t>con</w:t>
            </w:r>
            <w:r>
              <w:rPr>
                <w:spacing w:val="77"/>
                <w:sz w:val="16"/>
              </w:rPr>
              <w:t> </w:t>
            </w:r>
            <w:r>
              <w:rPr>
                <w:sz w:val="16"/>
              </w:rPr>
              <w:t>empresas</w:t>
            </w:r>
            <w:r>
              <w:rPr>
                <w:spacing w:val="77"/>
                <w:sz w:val="16"/>
              </w:rPr>
              <w:t> </w:t>
            </w:r>
            <w:r>
              <w:rPr>
                <w:sz w:val="16"/>
              </w:rPr>
              <w:t>del</w:t>
            </w:r>
            <w:r>
              <w:rPr>
                <w:spacing w:val="40"/>
                <w:sz w:val="16"/>
              </w:rPr>
              <w:t> </w:t>
            </w:r>
            <w:r>
              <w:rPr>
                <w:sz w:val="16"/>
              </w:rPr>
              <w:t>grupo</w:t>
            </w:r>
            <w:r>
              <w:rPr>
                <w:spacing w:val="63"/>
                <w:sz w:val="16"/>
              </w:rPr>
              <w:t> </w:t>
            </w:r>
            <w:r>
              <w:rPr>
                <w:sz w:val="16"/>
              </w:rPr>
              <w:t>y</w:t>
            </w:r>
            <w:r>
              <w:rPr>
                <w:spacing w:val="63"/>
                <w:sz w:val="16"/>
              </w:rPr>
              <w:t> </w:t>
            </w:r>
            <w:r>
              <w:rPr>
                <w:sz w:val="16"/>
              </w:rPr>
              <w:t>asociadas</w:t>
            </w:r>
            <w:r>
              <w:rPr>
                <w:spacing w:val="63"/>
                <w:sz w:val="16"/>
              </w:rPr>
              <w:t> </w:t>
            </w:r>
            <w:r>
              <w:rPr>
                <w:sz w:val="16"/>
              </w:rPr>
              <w:t>a</w:t>
            </w:r>
            <w:r>
              <w:rPr>
                <w:spacing w:val="62"/>
                <w:sz w:val="16"/>
              </w:rPr>
              <w:t> </w:t>
            </w:r>
            <w:r>
              <w:rPr>
                <w:spacing w:val="-2"/>
                <w:sz w:val="16"/>
              </w:rPr>
              <w:t>largo</w:t>
            </w:r>
          </w:p>
          <w:p>
            <w:pPr>
              <w:pStyle w:val="TableParagraph"/>
              <w:spacing w:line="164" w:lineRule="exact"/>
              <w:ind w:left="70"/>
              <w:rPr>
                <w:sz w:val="16"/>
              </w:rPr>
            </w:pPr>
            <w:r>
              <w:rPr>
                <w:sz w:val="16"/>
              </w:rPr>
              <w:t>plazo</w:t>
            </w:r>
            <w:r>
              <w:rPr>
                <w:spacing w:val="-4"/>
                <w:sz w:val="16"/>
              </w:rPr>
              <w:t> </w:t>
            </w:r>
            <w:r>
              <w:rPr>
                <w:sz w:val="16"/>
              </w:rPr>
              <w:t>(ver</w:t>
            </w:r>
            <w:r>
              <w:rPr>
                <w:spacing w:val="-4"/>
                <w:sz w:val="16"/>
              </w:rPr>
              <w:t> </w:t>
            </w:r>
            <w:r>
              <w:rPr>
                <w:sz w:val="16"/>
              </w:rPr>
              <w:t>nota</w:t>
            </w:r>
            <w:r>
              <w:rPr>
                <w:spacing w:val="-4"/>
                <w:sz w:val="16"/>
              </w:rPr>
              <w:t> </w:t>
            </w:r>
            <w:r>
              <w:rPr>
                <w:spacing w:val="-5"/>
                <w:sz w:val="16"/>
              </w:rPr>
              <w:t>14)</w:t>
            </w:r>
          </w:p>
        </w:tc>
        <w:tc>
          <w:tcPr>
            <w:tcW w:w="1079" w:type="dxa"/>
          </w:tcPr>
          <w:p>
            <w:pPr>
              <w:pStyle w:val="TableParagraph"/>
              <w:rPr>
                <w:sz w:val="20"/>
              </w:rPr>
            </w:pPr>
          </w:p>
        </w:tc>
        <w:tc>
          <w:tcPr>
            <w:tcW w:w="1078" w:type="dxa"/>
          </w:tcPr>
          <w:p>
            <w:pPr>
              <w:pStyle w:val="TableParagraph"/>
              <w:rPr>
                <w:sz w:val="20"/>
              </w:rPr>
            </w:pPr>
          </w:p>
        </w:tc>
        <w:tc>
          <w:tcPr>
            <w:tcW w:w="1078" w:type="dxa"/>
          </w:tcPr>
          <w:p>
            <w:pPr>
              <w:pStyle w:val="TableParagraph"/>
              <w:spacing w:before="183"/>
              <w:ind w:left="110"/>
              <w:jc w:val="center"/>
              <w:rPr>
                <w:sz w:val="16"/>
              </w:rPr>
            </w:pPr>
            <w:r>
              <w:rPr>
                <w:spacing w:val="-2"/>
                <w:sz w:val="16"/>
              </w:rPr>
              <w:t>8.500.000,00</w:t>
            </w:r>
          </w:p>
        </w:tc>
        <w:tc>
          <w:tcPr>
            <w:tcW w:w="1079" w:type="dxa"/>
          </w:tcPr>
          <w:p>
            <w:pPr>
              <w:pStyle w:val="TableParagraph"/>
              <w:rPr>
                <w:sz w:val="20"/>
              </w:rPr>
            </w:pPr>
          </w:p>
        </w:tc>
        <w:tc>
          <w:tcPr>
            <w:tcW w:w="1078" w:type="dxa"/>
          </w:tcPr>
          <w:p>
            <w:pPr>
              <w:pStyle w:val="TableParagraph"/>
              <w:rPr>
                <w:sz w:val="20"/>
              </w:rPr>
            </w:pPr>
          </w:p>
        </w:tc>
        <w:tc>
          <w:tcPr>
            <w:tcW w:w="1168" w:type="dxa"/>
          </w:tcPr>
          <w:p>
            <w:pPr>
              <w:pStyle w:val="TableParagraph"/>
              <w:spacing w:before="183"/>
              <w:ind w:left="36"/>
              <w:jc w:val="center"/>
              <w:rPr>
                <w:sz w:val="16"/>
              </w:rPr>
            </w:pPr>
            <w:r>
              <w:rPr>
                <w:spacing w:val="-2"/>
                <w:sz w:val="16"/>
              </w:rPr>
              <w:t>451.207.065,00</w:t>
            </w:r>
          </w:p>
        </w:tc>
        <w:tc>
          <w:tcPr>
            <w:tcW w:w="1275" w:type="dxa"/>
          </w:tcPr>
          <w:p>
            <w:pPr>
              <w:pStyle w:val="TableParagraph"/>
              <w:spacing w:before="183"/>
              <w:ind w:right="59"/>
              <w:jc w:val="right"/>
              <w:rPr>
                <w:b/>
                <w:sz w:val="16"/>
              </w:rPr>
            </w:pPr>
            <w:r>
              <w:rPr>
                <w:b/>
                <w:spacing w:val="-2"/>
                <w:sz w:val="16"/>
              </w:rPr>
              <w:t>459.707.065,00</w:t>
            </w:r>
          </w:p>
        </w:tc>
      </w:tr>
      <w:tr>
        <w:trPr>
          <w:trHeight w:val="228" w:hRule="atLeast"/>
        </w:trPr>
        <w:tc>
          <w:tcPr>
            <w:tcW w:w="2033" w:type="dxa"/>
          </w:tcPr>
          <w:p>
            <w:pPr>
              <w:pStyle w:val="TableParagraph"/>
              <w:spacing w:before="22"/>
              <w:ind w:left="70"/>
              <w:rPr>
                <w:sz w:val="16"/>
              </w:rPr>
            </w:pPr>
            <w:r>
              <w:rPr>
                <w:spacing w:val="-2"/>
                <w:sz w:val="16"/>
              </w:rPr>
              <w:t>Acreedores</w:t>
            </w:r>
            <w:r>
              <w:rPr>
                <w:spacing w:val="9"/>
                <w:sz w:val="16"/>
              </w:rPr>
              <w:t> </w:t>
            </w:r>
            <w:r>
              <w:rPr>
                <w:spacing w:val="-2"/>
                <w:sz w:val="16"/>
              </w:rPr>
              <w:t>comerciales</w:t>
            </w:r>
          </w:p>
        </w:tc>
        <w:tc>
          <w:tcPr>
            <w:tcW w:w="1079" w:type="dxa"/>
          </w:tcPr>
          <w:p>
            <w:pPr>
              <w:pStyle w:val="TableParagraph"/>
              <w:rPr>
                <w:sz w:val="16"/>
              </w:rPr>
            </w:pPr>
          </w:p>
        </w:tc>
        <w:tc>
          <w:tcPr>
            <w:tcW w:w="1078" w:type="dxa"/>
          </w:tcPr>
          <w:p>
            <w:pPr>
              <w:pStyle w:val="TableParagraph"/>
              <w:rPr>
                <w:sz w:val="16"/>
              </w:rPr>
            </w:pPr>
          </w:p>
        </w:tc>
        <w:tc>
          <w:tcPr>
            <w:tcW w:w="1078" w:type="dxa"/>
          </w:tcPr>
          <w:p>
            <w:pPr>
              <w:pStyle w:val="TableParagraph"/>
              <w:rPr>
                <w:sz w:val="16"/>
              </w:rPr>
            </w:pPr>
          </w:p>
        </w:tc>
        <w:tc>
          <w:tcPr>
            <w:tcW w:w="1079" w:type="dxa"/>
          </w:tcPr>
          <w:p>
            <w:pPr>
              <w:pStyle w:val="TableParagraph"/>
              <w:rPr>
                <w:sz w:val="16"/>
              </w:rPr>
            </w:pPr>
          </w:p>
        </w:tc>
        <w:tc>
          <w:tcPr>
            <w:tcW w:w="1078" w:type="dxa"/>
          </w:tcPr>
          <w:p>
            <w:pPr>
              <w:pStyle w:val="TableParagraph"/>
              <w:rPr>
                <w:sz w:val="16"/>
              </w:rPr>
            </w:pPr>
          </w:p>
        </w:tc>
        <w:tc>
          <w:tcPr>
            <w:tcW w:w="1168" w:type="dxa"/>
          </w:tcPr>
          <w:p>
            <w:pPr>
              <w:pStyle w:val="TableParagraph"/>
              <w:rPr>
                <w:sz w:val="16"/>
              </w:rPr>
            </w:pPr>
          </w:p>
        </w:tc>
        <w:tc>
          <w:tcPr>
            <w:tcW w:w="1275" w:type="dxa"/>
          </w:tcPr>
          <w:p>
            <w:pPr>
              <w:pStyle w:val="TableParagraph"/>
              <w:rPr>
                <w:sz w:val="16"/>
              </w:rPr>
            </w:pPr>
          </w:p>
        </w:tc>
      </w:tr>
      <w:tr>
        <w:trPr>
          <w:trHeight w:val="228" w:hRule="atLeast"/>
        </w:trPr>
        <w:tc>
          <w:tcPr>
            <w:tcW w:w="2033" w:type="dxa"/>
          </w:tcPr>
          <w:p>
            <w:pPr>
              <w:pStyle w:val="TableParagraph"/>
              <w:spacing w:before="22"/>
              <w:ind w:left="70"/>
              <w:rPr>
                <w:sz w:val="16"/>
              </w:rPr>
            </w:pPr>
            <w:r>
              <w:rPr>
                <w:sz w:val="16"/>
              </w:rPr>
              <w:t>-</w:t>
            </w:r>
            <w:r>
              <w:rPr>
                <w:spacing w:val="-2"/>
                <w:sz w:val="16"/>
              </w:rPr>
              <w:t> Proveedores</w:t>
            </w:r>
          </w:p>
        </w:tc>
        <w:tc>
          <w:tcPr>
            <w:tcW w:w="1079" w:type="dxa"/>
          </w:tcPr>
          <w:p>
            <w:pPr>
              <w:pStyle w:val="TableParagraph"/>
              <w:spacing w:before="22"/>
              <w:ind w:right="57"/>
              <w:jc w:val="right"/>
              <w:rPr>
                <w:sz w:val="16"/>
              </w:rPr>
            </w:pPr>
            <w:r>
              <w:rPr>
                <w:spacing w:val="-2"/>
                <w:sz w:val="16"/>
              </w:rPr>
              <w:t>364.938,45</w:t>
            </w:r>
          </w:p>
        </w:tc>
        <w:tc>
          <w:tcPr>
            <w:tcW w:w="1078" w:type="dxa"/>
          </w:tcPr>
          <w:p>
            <w:pPr>
              <w:pStyle w:val="TableParagraph"/>
              <w:rPr>
                <w:sz w:val="16"/>
              </w:rPr>
            </w:pPr>
          </w:p>
        </w:tc>
        <w:tc>
          <w:tcPr>
            <w:tcW w:w="1078" w:type="dxa"/>
          </w:tcPr>
          <w:p>
            <w:pPr>
              <w:pStyle w:val="TableParagraph"/>
              <w:rPr>
                <w:sz w:val="16"/>
              </w:rPr>
            </w:pPr>
          </w:p>
        </w:tc>
        <w:tc>
          <w:tcPr>
            <w:tcW w:w="1079" w:type="dxa"/>
          </w:tcPr>
          <w:p>
            <w:pPr>
              <w:pStyle w:val="TableParagraph"/>
              <w:rPr>
                <w:sz w:val="16"/>
              </w:rPr>
            </w:pPr>
          </w:p>
        </w:tc>
        <w:tc>
          <w:tcPr>
            <w:tcW w:w="1078" w:type="dxa"/>
          </w:tcPr>
          <w:p>
            <w:pPr>
              <w:pStyle w:val="TableParagraph"/>
              <w:rPr>
                <w:sz w:val="16"/>
              </w:rPr>
            </w:pPr>
          </w:p>
        </w:tc>
        <w:tc>
          <w:tcPr>
            <w:tcW w:w="1168" w:type="dxa"/>
          </w:tcPr>
          <w:p>
            <w:pPr>
              <w:pStyle w:val="TableParagraph"/>
              <w:rPr>
                <w:sz w:val="16"/>
              </w:rPr>
            </w:pPr>
          </w:p>
        </w:tc>
        <w:tc>
          <w:tcPr>
            <w:tcW w:w="1275" w:type="dxa"/>
          </w:tcPr>
          <w:p>
            <w:pPr>
              <w:pStyle w:val="TableParagraph"/>
              <w:spacing w:before="22"/>
              <w:ind w:right="59"/>
              <w:jc w:val="right"/>
              <w:rPr>
                <w:b/>
                <w:sz w:val="16"/>
              </w:rPr>
            </w:pPr>
            <w:r>
              <w:rPr>
                <w:b/>
                <w:spacing w:val="-2"/>
                <w:sz w:val="16"/>
              </w:rPr>
              <w:t>364.938,45</w:t>
            </w:r>
          </w:p>
        </w:tc>
      </w:tr>
      <w:tr>
        <w:trPr>
          <w:trHeight w:val="230" w:hRule="atLeast"/>
        </w:trPr>
        <w:tc>
          <w:tcPr>
            <w:tcW w:w="2033" w:type="dxa"/>
          </w:tcPr>
          <w:p>
            <w:pPr>
              <w:pStyle w:val="TableParagraph"/>
              <w:spacing w:before="22"/>
              <w:ind w:left="70"/>
              <w:rPr>
                <w:sz w:val="16"/>
              </w:rPr>
            </w:pPr>
            <w:r>
              <w:rPr>
                <w:sz w:val="16"/>
              </w:rPr>
              <w:t>-</w:t>
            </w:r>
            <w:r>
              <w:rPr>
                <w:spacing w:val="-7"/>
                <w:sz w:val="16"/>
              </w:rPr>
              <w:t> </w:t>
            </w:r>
            <w:r>
              <w:rPr>
                <w:sz w:val="16"/>
              </w:rPr>
              <w:t>Proveedores</w:t>
            </w:r>
            <w:r>
              <w:rPr>
                <w:spacing w:val="-6"/>
                <w:sz w:val="16"/>
              </w:rPr>
              <w:t> </w:t>
            </w:r>
            <w:r>
              <w:rPr>
                <w:spacing w:val="-2"/>
                <w:sz w:val="16"/>
              </w:rPr>
              <w:t>vinculados</w:t>
            </w:r>
          </w:p>
        </w:tc>
        <w:tc>
          <w:tcPr>
            <w:tcW w:w="1079" w:type="dxa"/>
          </w:tcPr>
          <w:p>
            <w:pPr>
              <w:pStyle w:val="TableParagraph"/>
              <w:spacing w:before="22"/>
              <w:ind w:right="57"/>
              <w:jc w:val="right"/>
              <w:rPr>
                <w:sz w:val="16"/>
              </w:rPr>
            </w:pPr>
            <w:r>
              <w:rPr>
                <w:spacing w:val="-2"/>
                <w:sz w:val="16"/>
              </w:rPr>
              <w:t>499.065,56</w:t>
            </w:r>
          </w:p>
        </w:tc>
        <w:tc>
          <w:tcPr>
            <w:tcW w:w="1078" w:type="dxa"/>
          </w:tcPr>
          <w:p>
            <w:pPr>
              <w:pStyle w:val="TableParagraph"/>
              <w:rPr>
                <w:sz w:val="16"/>
              </w:rPr>
            </w:pPr>
          </w:p>
        </w:tc>
        <w:tc>
          <w:tcPr>
            <w:tcW w:w="1078" w:type="dxa"/>
          </w:tcPr>
          <w:p>
            <w:pPr>
              <w:pStyle w:val="TableParagraph"/>
              <w:rPr>
                <w:sz w:val="16"/>
              </w:rPr>
            </w:pPr>
          </w:p>
        </w:tc>
        <w:tc>
          <w:tcPr>
            <w:tcW w:w="1079" w:type="dxa"/>
          </w:tcPr>
          <w:p>
            <w:pPr>
              <w:pStyle w:val="TableParagraph"/>
              <w:rPr>
                <w:sz w:val="16"/>
              </w:rPr>
            </w:pPr>
          </w:p>
        </w:tc>
        <w:tc>
          <w:tcPr>
            <w:tcW w:w="1078" w:type="dxa"/>
          </w:tcPr>
          <w:p>
            <w:pPr>
              <w:pStyle w:val="TableParagraph"/>
              <w:rPr>
                <w:sz w:val="16"/>
              </w:rPr>
            </w:pPr>
          </w:p>
        </w:tc>
        <w:tc>
          <w:tcPr>
            <w:tcW w:w="1168" w:type="dxa"/>
          </w:tcPr>
          <w:p>
            <w:pPr>
              <w:pStyle w:val="TableParagraph"/>
              <w:rPr>
                <w:sz w:val="16"/>
              </w:rPr>
            </w:pPr>
          </w:p>
        </w:tc>
        <w:tc>
          <w:tcPr>
            <w:tcW w:w="1275" w:type="dxa"/>
          </w:tcPr>
          <w:p>
            <w:pPr>
              <w:pStyle w:val="TableParagraph"/>
              <w:spacing w:before="22"/>
              <w:ind w:right="59"/>
              <w:jc w:val="right"/>
              <w:rPr>
                <w:b/>
                <w:sz w:val="16"/>
              </w:rPr>
            </w:pPr>
            <w:r>
              <w:rPr>
                <w:b/>
                <w:spacing w:val="-2"/>
                <w:sz w:val="16"/>
              </w:rPr>
              <w:t>499.065,56</w:t>
            </w:r>
          </w:p>
        </w:tc>
      </w:tr>
      <w:tr>
        <w:trPr>
          <w:trHeight w:val="228" w:hRule="atLeast"/>
        </w:trPr>
        <w:tc>
          <w:tcPr>
            <w:tcW w:w="2033" w:type="dxa"/>
          </w:tcPr>
          <w:p>
            <w:pPr>
              <w:pStyle w:val="TableParagraph"/>
              <w:spacing w:before="22"/>
              <w:ind w:left="70"/>
              <w:rPr>
                <w:sz w:val="16"/>
              </w:rPr>
            </w:pPr>
            <w:r>
              <w:rPr>
                <w:sz w:val="16"/>
              </w:rPr>
              <w:t>-</w:t>
            </w:r>
            <w:r>
              <w:rPr>
                <w:spacing w:val="-6"/>
                <w:sz w:val="16"/>
              </w:rPr>
              <w:t> </w:t>
            </w:r>
            <w:r>
              <w:rPr>
                <w:sz w:val="16"/>
              </w:rPr>
              <w:t>Acreedores</w:t>
            </w:r>
            <w:r>
              <w:rPr>
                <w:spacing w:val="-6"/>
                <w:sz w:val="16"/>
              </w:rPr>
              <w:t> </w:t>
            </w:r>
            <w:r>
              <w:rPr>
                <w:spacing w:val="-2"/>
                <w:sz w:val="16"/>
              </w:rPr>
              <w:t>varios</w:t>
            </w:r>
          </w:p>
        </w:tc>
        <w:tc>
          <w:tcPr>
            <w:tcW w:w="1079" w:type="dxa"/>
          </w:tcPr>
          <w:p>
            <w:pPr>
              <w:pStyle w:val="TableParagraph"/>
              <w:spacing w:before="22"/>
              <w:ind w:right="57"/>
              <w:jc w:val="right"/>
              <w:rPr>
                <w:sz w:val="16"/>
              </w:rPr>
            </w:pPr>
            <w:r>
              <w:rPr>
                <w:spacing w:val="-2"/>
                <w:sz w:val="16"/>
              </w:rPr>
              <w:t>17.368,38</w:t>
            </w:r>
          </w:p>
        </w:tc>
        <w:tc>
          <w:tcPr>
            <w:tcW w:w="1078" w:type="dxa"/>
          </w:tcPr>
          <w:p>
            <w:pPr>
              <w:pStyle w:val="TableParagraph"/>
              <w:rPr>
                <w:sz w:val="16"/>
              </w:rPr>
            </w:pPr>
          </w:p>
        </w:tc>
        <w:tc>
          <w:tcPr>
            <w:tcW w:w="1078" w:type="dxa"/>
          </w:tcPr>
          <w:p>
            <w:pPr>
              <w:pStyle w:val="TableParagraph"/>
              <w:rPr>
                <w:sz w:val="16"/>
              </w:rPr>
            </w:pPr>
          </w:p>
        </w:tc>
        <w:tc>
          <w:tcPr>
            <w:tcW w:w="1079" w:type="dxa"/>
          </w:tcPr>
          <w:p>
            <w:pPr>
              <w:pStyle w:val="TableParagraph"/>
              <w:rPr>
                <w:sz w:val="16"/>
              </w:rPr>
            </w:pPr>
          </w:p>
        </w:tc>
        <w:tc>
          <w:tcPr>
            <w:tcW w:w="1078" w:type="dxa"/>
          </w:tcPr>
          <w:p>
            <w:pPr>
              <w:pStyle w:val="TableParagraph"/>
              <w:rPr>
                <w:sz w:val="16"/>
              </w:rPr>
            </w:pPr>
          </w:p>
        </w:tc>
        <w:tc>
          <w:tcPr>
            <w:tcW w:w="1168" w:type="dxa"/>
          </w:tcPr>
          <w:p>
            <w:pPr>
              <w:pStyle w:val="TableParagraph"/>
              <w:rPr>
                <w:sz w:val="16"/>
              </w:rPr>
            </w:pPr>
          </w:p>
        </w:tc>
        <w:tc>
          <w:tcPr>
            <w:tcW w:w="1275" w:type="dxa"/>
          </w:tcPr>
          <w:p>
            <w:pPr>
              <w:pStyle w:val="TableParagraph"/>
              <w:spacing w:before="22"/>
              <w:ind w:right="59"/>
              <w:jc w:val="right"/>
              <w:rPr>
                <w:b/>
                <w:sz w:val="16"/>
              </w:rPr>
            </w:pPr>
            <w:r>
              <w:rPr>
                <w:b/>
                <w:spacing w:val="-2"/>
                <w:sz w:val="16"/>
              </w:rPr>
              <w:t>17.368,38</w:t>
            </w:r>
          </w:p>
        </w:tc>
      </w:tr>
      <w:tr>
        <w:trPr>
          <w:trHeight w:val="228" w:hRule="atLeast"/>
        </w:trPr>
        <w:tc>
          <w:tcPr>
            <w:tcW w:w="2033" w:type="dxa"/>
          </w:tcPr>
          <w:p>
            <w:pPr>
              <w:pStyle w:val="TableParagraph"/>
              <w:spacing w:before="22"/>
              <w:ind w:left="10"/>
              <w:jc w:val="center"/>
              <w:rPr>
                <w:b/>
                <w:sz w:val="16"/>
              </w:rPr>
            </w:pPr>
            <w:r>
              <w:rPr>
                <w:b/>
                <w:spacing w:val="-2"/>
                <w:sz w:val="16"/>
              </w:rPr>
              <w:t>Totales</w:t>
            </w:r>
          </w:p>
        </w:tc>
        <w:tc>
          <w:tcPr>
            <w:tcW w:w="1079" w:type="dxa"/>
          </w:tcPr>
          <w:p>
            <w:pPr>
              <w:pStyle w:val="TableParagraph"/>
              <w:spacing w:before="22"/>
              <w:ind w:right="57"/>
              <w:jc w:val="right"/>
              <w:rPr>
                <w:b/>
                <w:sz w:val="16"/>
              </w:rPr>
            </w:pPr>
            <w:r>
              <w:rPr>
                <w:b/>
                <w:spacing w:val="-2"/>
                <w:sz w:val="16"/>
              </w:rPr>
              <w:t>881.372,39</w:t>
            </w:r>
          </w:p>
        </w:tc>
        <w:tc>
          <w:tcPr>
            <w:tcW w:w="1078" w:type="dxa"/>
          </w:tcPr>
          <w:p>
            <w:pPr>
              <w:pStyle w:val="TableParagraph"/>
              <w:rPr>
                <w:sz w:val="16"/>
              </w:rPr>
            </w:pPr>
          </w:p>
        </w:tc>
        <w:tc>
          <w:tcPr>
            <w:tcW w:w="1078" w:type="dxa"/>
          </w:tcPr>
          <w:p>
            <w:pPr>
              <w:pStyle w:val="TableParagraph"/>
              <w:spacing w:before="22"/>
              <w:ind w:left="110"/>
              <w:jc w:val="center"/>
              <w:rPr>
                <w:b/>
                <w:sz w:val="16"/>
              </w:rPr>
            </w:pPr>
            <w:r>
              <w:rPr>
                <w:b/>
                <w:spacing w:val="-2"/>
                <w:sz w:val="16"/>
              </w:rPr>
              <w:t>8.500.000,00</w:t>
            </w:r>
          </w:p>
        </w:tc>
        <w:tc>
          <w:tcPr>
            <w:tcW w:w="1079" w:type="dxa"/>
          </w:tcPr>
          <w:p>
            <w:pPr>
              <w:pStyle w:val="TableParagraph"/>
              <w:rPr>
                <w:sz w:val="16"/>
              </w:rPr>
            </w:pPr>
          </w:p>
        </w:tc>
        <w:tc>
          <w:tcPr>
            <w:tcW w:w="1078" w:type="dxa"/>
          </w:tcPr>
          <w:p>
            <w:pPr>
              <w:pStyle w:val="TableParagraph"/>
              <w:rPr>
                <w:sz w:val="16"/>
              </w:rPr>
            </w:pPr>
          </w:p>
        </w:tc>
        <w:tc>
          <w:tcPr>
            <w:tcW w:w="1168" w:type="dxa"/>
          </w:tcPr>
          <w:p>
            <w:pPr>
              <w:pStyle w:val="TableParagraph"/>
              <w:spacing w:before="22"/>
              <w:ind w:left="36"/>
              <w:jc w:val="center"/>
              <w:rPr>
                <w:b/>
                <w:sz w:val="16"/>
              </w:rPr>
            </w:pPr>
            <w:r>
              <w:rPr>
                <w:b/>
                <w:spacing w:val="-2"/>
                <w:sz w:val="16"/>
              </w:rPr>
              <w:t>451.207.065,00</w:t>
            </w:r>
          </w:p>
        </w:tc>
        <w:tc>
          <w:tcPr>
            <w:tcW w:w="1275" w:type="dxa"/>
          </w:tcPr>
          <w:p>
            <w:pPr>
              <w:pStyle w:val="TableParagraph"/>
              <w:spacing w:before="22"/>
              <w:ind w:right="59"/>
              <w:jc w:val="right"/>
              <w:rPr>
                <w:b/>
                <w:sz w:val="16"/>
              </w:rPr>
            </w:pPr>
            <w:r>
              <w:rPr>
                <w:b/>
                <w:spacing w:val="-2"/>
                <w:sz w:val="16"/>
              </w:rPr>
              <w:t>460.588.437,39</w:t>
            </w:r>
          </w:p>
        </w:tc>
      </w:tr>
    </w:tbl>
    <w:p>
      <w:pPr>
        <w:pStyle w:val="BodyText"/>
        <w:spacing w:before="4"/>
      </w:pPr>
    </w:p>
    <w:p>
      <w:pPr>
        <w:pStyle w:val="BodyText"/>
        <w:ind w:left="570" w:right="965"/>
      </w:pPr>
      <w:r>
        <w:rPr/>
        <w:t>No existen impagos sobre préstamos pendientes de pago al cierre del ejercicio 2025. Tampoco las hubo al cierre del ejercicio 2024.</w:t>
      </w:r>
    </w:p>
    <w:p>
      <w:pPr>
        <w:pStyle w:val="BodyText"/>
        <w:spacing w:before="252"/>
        <w:ind w:left="570" w:right="794"/>
      </w:pPr>
      <w:r>
        <w:rPr/>
        <w:t>No</w:t>
      </w:r>
      <w:r>
        <w:rPr>
          <w:spacing w:val="-1"/>
        </w:rPr>
        <w:t> </w:t>
      </w:r>
      <w:r>
        <w:rPr/>
        <w:t>existen</w:t>
      </w:r>
      <w:r>
        <w:rPr>
          <w:spacing w:val="-1"/>
        </w:rPr>
        <w:t> </w:t>
      </w:r>
      <w:r>
        <w:rPr/>
        <w:t>deudas</w:t>
      </w:r>
      <w:r>
        <w:rPr>
          <w:spacing w:val="-1"/>
        </w:rPr>
        <w:t> </w:t>
      </w:r>
      <w:r>
        <w:rPr/>
        <w:t>con</w:t>
      </w:r>
      <w:r>
        <w:rPr>
          <w:spacing w:val="-1"/>
        </w:rPr>
        <w:t> </w:t>
      </w:r>
      <w:r>
        <w:rPr/>
        <w:t>garantía</w:t>
      </w:r>
      <w:r>
        <w:rPr>
          <w:spacing w:val="-1"/>
        </w:rPr>
        <w:t> </w:t>
      </w:r>
      <w:r>
        <w:rPr/>
        <w:t>real</w:t>
      </w:r>
      <w:r>
        <w:rPr>
          <w:spacing w:val="-1"/>
        </w:rPr>
        <w:t> </w:t>
      </w:r>
      <w:r>
        <w:rPr/>
        <w:t>al</w:t>
      </w:r>
      <w:r>
        <w:rPr>
          <w:spacing w:val="-1"/>
        </w:rPr>
        <w:t> </w:t>
      </w:r>
      <w:r>
        <w:rPr/>
        <w:t>cierre</w:t>
      </w:r>
      <w:r>
        <w:rPr>
          <w:spacing w:val="-2"/>
        </w:rPr>
        <w:t> </w:t>
      </w:r>
      <w:r>
        <w:rPr/>
        <w:t>del</w:t>
      </w:r>
      <w:r>
        <w:rPr>
          <w:spacing w:val="-1"/>
        </w:rPr>
        <w:t> </w:t>
      </w:r>
      <w:r>
        <w:rPr/>
        <w:t>ejercicio</w:t>
      </w:r>
      <w:r>
        <w:rPr>
          <w:spacing w:val="-1"/>
        </w:rPr>
        <w:t> </w:t>
      </w:r>
      <w:r>
        <w:rPr/>
        <w:t>2025.</w:t>
      </w:r>
      <w:r>
        <w:rPr>
          <w:spacing w:val="-1"/>
        </w:rPr>
        <w:t> </w:t>
      </w:r>
      <w:r>
        <w:rPr/>
        <w:t>Tampoco</w:t>
      </w:r>
      <w:r>
        <w:rPr>
          <w:spacing w:val="-1"/>
        </w:rPr>
        <w:t> </w:t>
      </w:r>
      <w:r>
        <w:rPr/>
        <w:t>las</w:t>
      </w:r>
      <w:r>
        <w:rPr>
          <w:spacing w:val="-1"/>
        </w:rPr>
        <w:t> </w:t>
      </w:r>
      <w:r>
        <w:rPr/>
        <w:t>hubo al</w:t>
      </w:r>
      <w:r>
        <w:rPr>
          <w:spacing w:val="-1"/>
        </w:rPr>
        <w:t> </w:t>
      </w:r>
      <w:r>
        <w:rPr/>
        <w:t>cierre</w:t>
      </w:r>
      <w:r>
        <w:rPr>
          <w:spacing w:val="-2"/>
        </w:rPr>
        <w:t> </w:t>
      </w:r>
      <w:r>
        <w:rPr/>
        <w:t>del</w:t>
      </w:r>
      <w:r>
        <w:rPr>
          <w:spacing w:val="-1"/>
        </w:rPr>
        <w:t> </w:t>
      </w:r>
      <w:r>
        <w:rPr/>
        <w:t>ejercicio </w:t>
      </w:r>
      <w:r>
        <w:rPr>
          <w:spacing w:val="-2"/>
        </w:rPr>
        <w:t>2024.</w:t>
      </w:r>
    </w:p>
    <w:p>
      <w:pPr>
        <w:pStyle w:val="BodyText"/>
        <w:spacing w:before="2"/>
      </w:pPr>
    </w:p>
    <w:p>
      <w:pPr>
        <w:pStyle w:val="Heading1"/>
        <w:numPr>
          <w:ilvl w:val="0"/>
          <w:numId w:val="11"/>
        </w:numPr>
        <w:tabs>
          <w:tab w:pos="708" w:val="left" w:leader="none"/>
        </w:tabs>
        <w:spacing w:line="240" w:lineRule="auto" w:before="1" w:after="0"/>
        <w:ind w:left="708" w:right="0" w:hanging="358"/>
        <w:jc w:val="left"/>
      </w:pPr>
      <w:r>
        <w:rPr/>
        <w:t>Información</w:t>
      </w:r>
      <w:r>
        <w:rPr>
          <w:spacing w:val="-6"/>
        </w:rPr>
        <w:t> </w:t>
      </w:r>
      <w:r>
        <w:rPr/>
        <w:t>sobre</w:t>
      </w:r>
      <w:r>
        <w:rPr>
          <w:spacing w:val="-8"/>
        </w:rPr>
        <w:t> </w:t>
      </w:r>
      <w:r>
        <w:rPr/>
        <w:t>la</w:t>
      </w:r>
      <w:r>
        <w:rPr>
          <w:spacing w:val="-6"/>
        </w:rPr>
        <w:t> </w:t>
      </w:r>
      <w:r>
        <w:rPr/>
        <w:t>naturaleza</w:t>
      </w:r>
      <w:r>
        <w:rPr>
          <w:spacing w:val="-8"/>
        </w:rPr>
        <w:t> </w:t>
      </w:r>
      <w:r>
        <w:rPr/>
        <w:t>y</w:t>
      </w:r>
      <w:r>
        <w:rPr>
          <w:spacing w:val="-6"/>
        </w:rPr>
        <w:t> </w:t>
      </w:r>
      <w:r>
        <w:rPr/>
        <w:t>el</w:t>
      </w:r>
      <w:r>
        <w:rPr>
          <w:spacing w:val="-8"/>
        </w:rPr>
        <w:t> </w:t>
      </w:r>
      <w:r>
        <w:rPr/>
        <w:t>nivel</w:t>
      </w:r>
      <w:r>
        <w:rPr>
          <w:spacing w:val="-7"/>
        </w:rPr>
        <w:t> </w:t>
      </w:r>
      <w:r>
        <w:rPr/>
        <w:t>de</w:t>
      </w:r>
      <w:r>
        <w:rPr>
          <w:spacing w:val="-8"/>
        </w:rPr>
        <w:t> </w:t>
      </w:r>
      <w:r>
        <w:rPr/>
        <w:t>riesgo</w:t>
      </w:r>
      <w:r>
        <w:rPr>
          <w:spacing w:val="-6"/>
        </w:rPr>
        <w:t> </w:t>
      </w:r>
      <w:r>
        <w:rPr/>
        <w:t>procedente</w:t>
      </w:r>
      <w:r>
        <w:rPr>
          <w:spacing w:val="-3"/>
        </w:rPr>
        <w:t> </w:t>
      </w:r>
      <w:r>
        <w:rPr/>
        <w:t>de</w:t>
      </w:r>
      <w:r>
        <w:rPr>
          <w:spacing w:val="-8"/>
        </w:rPr>
        <w:t> </w:t>
      </w:r>
      <w:r>
        <w:rPr/>
        <w:t>instrumentos</w:t>
      </w:r>
      <w:r>
        <w:rPr>
          <w:spacing w:val="-7"/>
        </w:rPr>
        <w:t> </w:t>
      </w:r>
      <w:r>
        <w:rPr>
          <w:spacing w:val="-2"/>
        </w:rPr>
        <w:t>financieros</w:t>
      </w:r>
    </w:p>
    <w:p>
      <w:pPr>
        <w:pStyle w:val="BodyText"/>
        <w:spacing w:before="11"/>
        <w:rPr>
          <w:b/>
        </w:rPr>
      </w:pPr>
    </w:p>
    <w:p>
      <w:pPr>
        <w:pStyle w:val="BodyText"/>
        <w:spacing w:line="247" w:lineRule="auto"/>
        <w:ind w:left="995" w:right="845"/>
        <w:jc w:val="both"/>
      </w:pPr>
      <w:r>
        <w:rPr/>
        <w:t>La gestión de los riesgos financieros está centralizada en el Órgano de Administración, el cual tiene establecidos los mecanismos necesarios para controlar la exposición a las variaciones en los tipos de interés y tipos de cambio, así como a los riesgos de crédito y liquidez. A continuación, se indican los principales riesgos financieros que impactan a la Sociedad:</w:t>
      </w:r>
    </w:p>
    <w:p>
      <w:pPr>
        <w:pStyle w:val="BodyText"/>
        <w:spacing w:before="5"/>
      </w:pPr>
    </w:p>
    <w:p>
      <w:pPr>
        <w:pStyle w:val="ListParagraph"/>
        <w:numPr>
          <w:ilvl w:val="1"/>
          <w:numId w:val="11"/>
        </w:numPr>
        <w:tabs>
          <w:tab w:pos="1275" w:val="left" w:leader="none"/>
        </w:tabs>
        <w:spacing w:line="240" w:lineRule="auto" w:before="0" w:after="0"/>
        <w:ind w:left="1275" w:right="0" w:hanging="282"/>
        <w:jc w:val="left"/>
        <w:rPr>
          <w:sz w:val="22"/>
        </w:rPr>
      </w:pPr>
      <w:r>
        <w:rPr>
          <w:sz w:val="22"/>
        </w:rPr>
        <w:t>Riesgo</w:t>
      </w:r>
      <w:r>
        <w:rPr>
          <w:spacing w:val="-7"/>
          <w:sz w:val="22"/>
        </w:rPr>
        <w:t> </w:t>
      </w:r>
      <w:r>
        <w:rPr>
          <w:sz w:val="22"/>
        </w:rPr>
        <w:t>de</w:t>
      </w:r>
      <w:r>
        <w:rPr>
          <w:spacing w:val="-5"/>
          <w:sz w:val="22"/>
        </w:rPr>
        <w:t> </w:t>
      </w:r>
      <w:r>
        <w:rPr>
          <w:spacing w:val="-2"/>
          <w:sz w:val="22"/>
        </w:rPr>
        <w:t>crédito</w:t>
      </w:r>
    </w:p>
    <w:p>
      <w:pPr>
        <w:pStyle w:val="BodyText"/>
        <w:spacing w:before="14"/>
      </w:pPr>
    </w:p>
    <w:p>
      <w:pPr>
        <w:pStyle w:val="BodyText"/>
        <w:spacing w:line="244" w:lineRule="auto"/>
        <w:ind w:left="1278" w:right="857"/>
        <w:jc w:val="both"/>
      </w:pPr>
      <w:r>
        <w:rPr/>
        <w:t>Con carácter general se mantiene la tesorería y activos líquidos equivalentes en entidades financieras de elevado nivel crediticio.</w:t>
      </w:r>
    </w:p>
    <w:p>
      <w:pPr>
        <w:pStyle w:val="BodyText"/>
        <w:spacing w:before="11"/>
      </w:pPr>
    </w:p>
    <w:p>
      <w:pPr>
        <w:pStyle w:val="ListParagraph"/>
        <w:numPr>
          <w:ilvl w:val="1"/>
          <w:numId w:val="11"/>
        </w:numPr>
        <w:tabs>
          <w:tab w:pos="1276" w:val="left" w:leader="none"/>
        </w:tabs>
        <w:spacing w:line="240" w:lineRule="auto" w:before="0" w:after="0"/>
        <w:ind w:left="1276" w:right="0" w:hanging="281"/>
        <w:jc w:val="left"/>
        <w:rPr>
          <w:sz w:val="22"/>
        </w:rPr>
      </w:pPr>
      <w:r>
        <w:rPr>
          <w:sz w:val="22"/>
        </w:rPr>
        <w:t>Riesgo</w:t>
      </w:r>
      <w:r>
        <w:rPr>
          <w:spacing w:val="-8"/>
          <w:sz w:val="22"/>
        </w:rPr>
        <w:t> </w:t>
      </w:r>
      <w:r>
        <w:rPr>
          <w:sz w:val="22"/>
        </w:rPr>
        <w:t>de</w:t>
      </w:r>
      <w:r>
        <w:rPr>
          <w:spacing w:val="-7"/>
          <w:sz w:val="22"/>
        </w:rPr>
        <w:t> </w:t>
      </w:r>
      <w:r>
        <w:rPr>
          <w:spacing w:val="-2"/>
          <w:sz w:val="22"/>
        </w:rPr>
        <w:t>liquidez</w:t>
      </w:r>
    </w:p>
    <w:p>
      <w:pPr>
        <w:pStyle w:val="BodyText"/>
        <w:spacing w:before="11"/>
      </w:pPr>
    </w:p>
    <w:p>
      <w:pPr>
        <w:pStyle w:val="BodyText"/>
        <w:spacing w:line="247" w:lineRule="auto"/>
        <w:ind w:left="1278" w:right="857"/>
        <w:jc w:val="both"/>
      </w:pPr>
      <w:r>
        <w:rPr/>
        <w:t>Con el fin de asegurar la liquidez y poder atender todos los compromisos de pago que se derivan de la actividad, se dispone de la tesorería que muestra el balance.</w:t>
      </w:r>
    </w:p>
    <w:p>
      <w:pPr>
        <w:pStyle w:val="BodyText"/>
        <w:spacing w:before="8"/>
      </w:pPr>
    </w:p>
    <w:p>
      <w:pPr>
        <w:pStyle w:val="ListParagraph"/>
        <w:numPr>
          <w:ilvl w:val="1"/>
          <w:numId w:val="11"/>
        </w:numPr>
        <w:tabs>
          <w:tab w:pos="1275" w:val="left" w:leader="none"/>
        </w:tabs>
        <w:spacing w:line="240" w:lineRule="auto" w:before="0" w:after="0"/>
        <w:ind w:left="1275" w:right="0" w:hanging="282"/>
        <w:jc w:val="left"/>
        <w:rPr>
          <w:sz w:val="22"/>
        </w:rPr>
      </w:pPr>
      <w:r>
        <w:rPr>
          <w:sz w:val="22"/>
        </w:rPr>
        <w:t>Riesgo</w:t>
      </w:r>
      <w:r>
        <w:rPr>
          <w:spacing w:val="-13"/>
          <w:sz w:val="22"/>
        </w:rPr>
        <w:t> </w:t>
      </w:r>
      <w:r>
        <w:rPr>
          <w:sz w:val="22"/>
        </w:rPr>
        <w:t>de</w:t>
      </w:r>
      <w:r>
        <w:rPr>
          <w:spacing w:val="-8"/>
          <w:sz w:val="22"/>
        </w:rPr>
        <w:t> </w:t>
      </w:r>
      <w:r>
        <w:rPr>
          <w:sz w:val="22"/>
        </w:rPr>
        <w:t>mercado</w:t>
      </w:r>
      <w:r>
        <w:rPr>
          <w:spacing w:val="-9"/>
          <w:sz w:val="22"/>
        </w:rPr>
        <w:t> </w:t>
      </w:r>
      <w:r>
        <w:rPr>
          <w:sz w:val="22"/>
        </w:rPr>
        <w:t>(incluye</w:t>
      </w:r>
      <w:r>
        <w:rPr>
          <w:spacing w:val="-8"/>
          <w:sz w:val="22"/>
        </w:rPr>
        <w:t> </w:t>
      </w:r>
      <w:r>
        <w:rPr>
          <w:sz w:val="22"/>
        </w:rPr>
        <w:t>tipo</w:t>
      </w:r>
      <w:r>
        <w:rPr>
          <w:spacing w:val="-8"/>
          <w:sz w:val="22"/>
        </w:rPr>
        <w:t> </w:t>
      </w:r>
      <w:r>
        <w:rPr>
          <w:sz w:val="22"/>
        </w:rPr>
        <w:t>de</w:t>
      </w:r>
      <w:r>
        <w:rPr>
          <w:spacing w:val="-8"/>
          <w:sz w:val="22"/>
        </w:rPr>
        <w:t> </w:t>
      </w:r>
      <w:r>
        <w:rPr>
          <w:sz w:val="22"/>
        </w:rPr>
        <w:t>interés,</w:t>
      </w:r>
      <w:r>
        <w:rPr>
          <w:spacing w:val="-9"/>
          <w:sz w:val="22"/>
        </w:rPr>
        <w:t> </w:t>
      </w:r>
      <w:r>
        <w:rPr>
          <w:sz w:val="22"/>
        </w:rPr>
        <w:t>tipo</w:t>
      </w:r>
      <w:r>
        <w:rPr>
          <w:spacing w:val="-8"/>
          <w:sz w:val="22"/>
        </w:rPr>
        <w:t> </w:t>
      </w:r>
      <w:r>
        <w:rPr>
          <w:sz w:val="22"/>
        </w:rPr>
        <w:t>de</w:t>
      </w:r>
      <w:r>
        <w:rPr>
          <w:spacing w:val="-8"/>
          <w:sz w:val="22"/>
        </w:rPr>
        <w:t> </w:t>
      </w:r>
      <w:r>
        <w:rPr>
          <w:sz w:val="22"/>
        </w:rPr>
        <w:t>cambio</w:t>
      </w:r>
      <w:r>
        <w:rPr>
          <w:spacing w:val="-8"/>
          <w:sz w:val="22"/>
        </w:rPr>
        <w:t> </w:t>
      </w:r>
      <w:r>
        <w:rPr>
          <w:sz w:val="22"/>
        </w:rPr>
        <w:t>y</w:t>
      </w:r>
      <w:r>
        <w:rPr>
          <w:spacing w:val="-7"/>
          <w:sz w:val="22"/>
        </w:rPr>
        <w:t> </w:t>
      </w:r>
      <w:r>
        <w:rPr>
          <w:sz w:val="22"/>
        </w:rPr>
        <w:t>otros</w:t>
      </w:r>
      <w:r>
        <w:rPr>
          <w:spacing w:val="-8"/>
          <w:sz w:val="22"/>
        </w:rPr>
        <w:t> </w:t>
      </w:r>
      <w:r>
        <w:rPr>
          <w:sz w:val="22"/>
        </w:rPr>
        <w:t>riesgos</w:t>
      </w:r>
      <w:r>
        <w:rPr>
          <w:spacing w:val="-7"/>
          <w:sz w:val="22"/>
        </w:rPr>
        <w:t> </w:t>
      </w:r>
      <w:r>
        <w:rPr>
          <w:sz w:val="22"/>
        </w:rPr>
        <w:t>de</w:t>
      </w:r>
      <w:r>
        <w:rPr>
          <w:spacing w:val="-8"/>
          <w:sz w:val="22"/>
        </w:rPr>
        <w:t> </w:t>
      </w:r>
      <w:r>
        <w:rPr>
          <w:spacing w:val="-2"/>
          <w:sz w:val="22"/>
        </w:rPr>
        <w:t>precio)</w:t>
      </w:r>
    </w:p>
    <w:p>
      <w:pPr>
        <w:pStyle w:val="BodyText"/>
        <w:spacing w:before="14"/>
      </w:pPr>
    </w:p>
    <w:p>
      <w:pPr>
        <w:pStyle w:val="BodyText"/>
        <w:spacing w:line="247" w:lineRule="auto" w:before="1"/>
        <w:ind w:left="1277" w:right="842"/>
        <w:jc w:val="both"/>
      </w:pPr>
      <w:r>
        <w:rPr/>
        <w:t>Tanto la tesorería como la deuda financiera están expuestas al riesgo de tipo de interés, el cual podría</w:t>
      </w:r>
      <w:r>
        <w:rPr>
          <w:spacing w:val="-6"/>
        </w:rPr>
        <w:t> </w:t>
      </w:r>
      <w:r>
        <w:rPr/>
        <w:t>tener</w:t>
      </w:r>
      <w:r>
        <w:rPr>
          <w:spacing w:val="-6"/>
        </w:rPr>
        <w:t> </w:t>
      </w:r>
      <w:r>
        <w:rPr/>
        <w:t>un</w:t>
      </w:r>
      <w:r>
        <w:rPr>
          <w:spacing w:val="-6"/>
        </w:rPr>
        <w:t> </w:t>
      </w:r>
      <w:r>
        <w:rPr/>
        <w:t>efecto</w:t>
      </w:r>
      <w:r>
        <w:rPr>
          <w:spacing w:val="-5"/>
        </w:rPr>
        <w:t> </w:t>
      </w:r>
      <w:r>
        <w:rPr/>
        <w:t>adverso</w:t>
      </w:r>
      <w:r>
        <w:rPr>
          <w:spacing w:val="-6"/>
        </w:rPr>
        <w:t> </w:t>
      </w:r>
      <w:r>
        <w:rPr/>
        <w:t>en</w:t>
      </w:r>
      <w:r>
        <w:rPr>
          <w:spacing w:val="-5"/>
        </w:rPr>
        <w:t> </w:t>
      </w:r>
      <w:r>
        <w:rPr/>
        <w:t>los</w:t>
      </w:r>
      <w:r>
        <w:rPr>
          <w:spacing w:val="-6"/>
        </w:rPr>
        <w:t> </w:t>
      </w:r>
      <w:r>
        <w:rPr/>
        <w:t>resultados</w:t>
      </w:r>
      <w:r>
        <w:rPr>
          <w:spacing w:val="-5"/>
        </w:rPr>
        <w:t> </w:t>
      </w:r>
      <w:r>
        <w:rPr/>
        <w:t>financieros</w:t>
      </w:r>
      <w:r>
        <w:rPr>
          <w:spacing w:val="-6"/>
        </w:rPr>
        <w:t> </w:t>
      </w:r>
      <w:r>
        <w:rPr/>
        <w:t>y</w:t>
      </w:r>
      <w:r>
        <w:rPr>
          <w:spacing w:val="-5"/>
        </w:rPr>
        <w:t> </w:t>
      </w:r>
      <w:r>
        <w:rPr/>
        <w:t>en</w:t>
      </w:r>
      <w:r>
        <w:rPr>
          <w:spacing w:val="-5"/>
        </w:rPr>
        <w:t> </w:t>
      </w:r>
      <w:r>
        <w:rPr/>
        <w:t>los</w:t>
      </w:r>
      <w:r>
        <w:rPr>
          <w:spacing w:val="-6"/>
        </w:rPr>
        <w:t> </w:t>
      </w:r>
      <w:r>
        <w:rPr/>
        <w:t>flujos</w:t>
      </w:r>
      <w:r>
        <w:rPr>
          <w:spacing w:val="-6"/>
        </w:rPr>
        <w:t> </w:t>
      </w:r>
      <w:r>
        <w:rPr/>
        <w:t>de</w:t>
      </w:r>
      <w:r>
        <w:rPr>
          <w:spacing w:val="-5"/>
        </w:rPr>
        <w:t> </w:t>
      </w:r>
      <w:r>
        <w:rPr/>
        <w:t>caja.</w:t>
      </w:r>
      <w:r>
        <w:rPr>
          <w:spacing w:val="16"/>
        </w:rPr>
        <w:t> </w:t>
      </w:r>
      <w:r>
        <w:rPr/>
        <w:t>Sin</w:t>
      </w:r>
      <w:r>
        <w:rPr>
          <w:spacing w:val="-5"/>
        </w:rPr>
        <w:t> </w:t>
      </w:r>
      <w:r>
        <w:rPr/>
        <w:t>embargo,</w:t>
      </w:r>
      <w:r>
        <w:rPr>
          <w:spacing w:val="-5"/>
        </w:rPr>
        <w:t> </w:t>
      </w:r>
      <w:r>
        <w:rPr/>
        <w:t>la Sociedad estima que no serán significativos.</w:t>
      </w:r>
    </w:p>
    <w:p>
      <w:pPr>
        <w:pStyle w:val="BodyText"/>
        <w:spacing w:after="0" w:line="247" w:lineRule="auto"/>
        <w:jc w:val="both"/>
        <w:sectPr>
          <w:pgSz w:w="11910" w:h="16840"/>
          <w:pgMar w:header="694" w:footer="690" w:top="1920" w:bottom="880" w:left="708" w:right="425"/>
        </w:sectPr>
      </w:pPr>
    </w:p>
    <w:p>
      <w:pPr>
        <w:pStyle w:val="BodyText"/>
        <w:spacing w:before="187"/>
      </w:pPr>
    </w:p>
    <w:p>
      <w:pPr>
        <w:pStyle w:val="Heading1"/>
        <w:numPr>
          <w:ilvl w:val="0"/>
          <w:numId w:val="11"/>
        </w:numPr>
        <w:tabs>
          <w:tab w:pos="708" w:val="left" w:leader="none"/>
        </w:tabs>
        <w:spacing w:line="240" w:lineRule="auto" w:before="0" w:after="0"/>
        <w:ind w:left="708" w:right="0" w:hanging="358"/>
        <w:jc w:val="left"/>
      </w:pPr>
      <w:r>
        <w:rPr>
          <w:spacing w:val="-2"/>
        </w:rPr>
        <w:t>Existencias</w:t>
      </w:r>
    </w:p>
    <w:p>
      <w:pPr>
        <w:pStyle w:val="BodyText"/>
        <w:spacing w:before="13"/>
        <w:rPr>
          <w:b/>
        </w:rPr>
      </w:pPr>
    </w:p>
    <w:p>
      <w:pPr>
        <w:pStyle w:val="BodyText"/>
        <w:spacing w:before="1"/>
        <w:ind w:left="995"/>
      </w:pPr>
      <w:r>
        <w:rPr>
          <w:spacing w:val="-2"/>
        </w:rPr>
        <w:t>Los</w:t>
      </w:r>
      <w:r>
        <w:rPr>
          <w:spacing w:val="-12"/>
        </w:rPr>
        <w:t> </w:t>
      </w:r>
      <w:r>
        <w:rPr>
          <w:spacing w:val="-2"/>
        </w:rPr>
        <w:t>saldos</w:t>
      </w:r>
      <w:r>
        <w:rPr>
          <w:spacing w:val="-11"/>
        </w:rPr>
        <w:t> </w:t>
      </w:r>
      <w:r>
        <w:rPr>
          <w:spacing w:val="-2"/>
        </w:rPr>
        <w:t>de</w:t>
      </w:r>
      <w:r>
        <w:rPr>
          <w:spacing w:val="-10"/>
        </w:rPr>
        <w:t> </w:t>
      </w:r>
      <w:r>
        <w:rPr>
          <w:spacing w:val="-2"/>
        </w:rPr>
        <w:t>las</w:t>
      </w:r>
      <w:r>
        <w:rPr>
          <w:spacing w:val="-11"/>
        </w:rPr>
        <w:t> </w:t>
      </w:r>
      <w:r>
        <w:rPr>
          <w:spacing w:val="-2"/>
        </w:rPr>
        <w:t>existencias</w:t>
      </w:r>
      <w:r>
        <w:rPr>
          <w:spacing w:val="-12"/>
        </w:rPr>
        <w:t> </w:t>
      </w:r>
      <w:r>
        <w:rPr>
          <w:spacing w:val="-2"/>
        </w:rPr>
        <w:t>en</w:t>
      </w:r>
      <w:r>
        <w:rPr>
          <w:spacing w:val="-10"/>
        </w:rPr>
        <w:t> </w:t>
      </w:r>
      <w:r>
        <w:rPr>
          <w:spacing w:val="-2"/>
        </w:rPr>
        <w:t>los</w:t>
      </w:r>
      <w:r>
        <w:rPr>
          <w:spacing w:val="-11"/>
        </w:rPr>
        <w:t> </w:t>
      </w:r>
      <w:r>
        <w:rPr>
          <w:spacing w:val="-2"/>
        </w:rPr>
        <w:t>ejercicios</w:t>
      </w:r>
      <w:r>
        <w:rPr>
          <w:spacing w:val="-11"/>
        </w:rPr>
        <w:t> </w:t>
      </w:r>
      <w:r>
        <w:rPr>
          <w:spacing w:val="-2"/>
        </w:rPr>
        <w:t>2025</w:t>
      </w:r>
      <w:r>
        <w:rPr>
          <w:spacing w:val="-11"/>
        </w:rPr>
        <w:t> </w:t>
      </w:r>
      <w:r>
        <w:rPr>
          <w:spacing w:val="-2"/>
        </w:rPr>
        <w:t>y</w:t>
      </w:r>
      <w:r>
        <w:rPr>
          <w:spacing w:val="-10"/>
        </w:rPr>
        <w:t> </w:t>
      </w:r>
      <w:r>
        <w:rPr>
          <w:spacing w:val="-2"/>
        </w:rPr>
        <w:t>2024</w:t>
      </w:r>
      <w:r>
        <w:rPr>
          <w:spacing w:val="-10"/>
        </w:rPr>
        <w:t> </w:t>
      </w:r>
      <w:r>
        <w:rPr>
          <w:spacing w:val="-2"/>
        </w:rPr>
        <w:t>han</w:t>
      </w:r>
      <w:r>
        <w:rPr>
          <w:spacing w:val="-11"/>
        </w:rPr>
        <w:t> </w:t>
      </w:r>
      <w:r>
        <w:rPr>
          <w:spacing w:val="-2"/>
        </w:rPr>
        <w:t>sido:</w:t>
      </w:r>
    </w:p>
    <w:p>
      <w:pPr>
        <w:pStyle w:val="BodyText"/>
        <w:spacing w:before="114"/>
        <w:rPr>
          <w:sz w:val="20"/>
        </w:rPr>
      </w:pPr>
    </w:p>
    <w:tbl>
      <w:tblPr>
        <w:tblW w:w="0" w:type="auto"/>
        <w:jc w:val="left"/>
        <w:tblInd w:w="3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86"/>
        <w:gridCol w:w="1272"/>
      </w:tblGrid>
      <w:tr>
        <w:trPr>
          <w:trHeight w:val="234" w:hRule="atLeast"/>
        </w:trPr>
        <w:tc>
          <w:tcPr>
            <w:tcW w:w="3186" w:type="dxa"/>
          </w:tcPr>
          <w:p>
            <w:pPr>
              <w:pStyle w:val="TableParagraph"/>
              <w:rPr>
                <w:sz w:val="16"/>
              </w:rPr>
            </w:pPr>
          </w:p>
        </w:tc>
        <w:tc>
          <w:tcPr>
            <w:tcW w:w="1272" w:type="dxa"/>
            <w:tcBorders>
              <w:bottom w:val="single" w:sz="8" w:space="0" w:color="000000"/>
            </w:tcBorders>
          </w:tcPr>
          <w:p>
            <w:pPr>
              <w:pStyle w:val="TableParagraph"/>
              <w:spacing w:line="177" w:lineRule="exact"/>
              <w:ind w:left="118" w:right="88"/>
              <w:jc w:val="center"/>
              <w:rPr>
                <w:b/>
                <w:sz w:val="16"/>
              </w:rPr>
            </w:pPr>
            <w:r>
              <w:rPr>
                <w:b/>
                <w:spacing w:val="-2"/>
                <w:sz w:val="16"/>
              </w:rPr>
              <w:t>Existencias</w:t>
            </w:r>
          </w:p>
        </w:tc>
      </w:tr>
      <w:tr>
        <w:trPr>
          <w:trHeight w:val="276" w:hRule="atLeast"/>
        </w:trPr>
        <w:tc>
          <w:tcPr>
            <w:tcW w:w="3186" w:type="dxa"/>
          </w:tcPr>
          <w:p>
            <w:pPr>
              <w:pStyle w:val="TableParagraph"/>
              <w:spacing w:before="56"/>
              <w:ind w:left="50"/>
              <w:rPr>
                <w:b/>
                <w:sz w:val="16"/>
              </w:rPr>
            </w:pPr>
            <w:r>
              <w:rPr>
                <w:b/>
                <w:sz w:val="16"/>
              </w:rPr>
              <w:t>Saldo</w:t>
            </w:r>
            <w:r>
              <w:rPr>
                <w:b/>
                <w:spacing w:val="-7"/>
                <w:sz w:val="16"/>
              </w:rPr>
              <w:t> </w:t>
            </w:r>
            <w:r>
              <w:rPr>
                <w:b/>
                <w:sz w:val="16"/>
              </w:rPr>
              <w:t>al</w:t>
            </w:r>
            <w:r>
              <w:rPr>
                <w:b/>
                <w:spacing w:val="-6"/>
                <w:sz w:val="16"/>
              </w:rPr>
              <w:t> </w:t>
            </w:r>
            <w:r>
              <w:rPr>
                <w:b/>
                <w:spacing w:val="-2"/>
                <w:sz w:val="16"/>
              </w:rPr>
              <w:t>01.01.24</w:t>
            </w:r>
          </w:p>
        </w:tc>
        <w:tc>
          <w:tcPr>
            <w:tcW w:w="1272" w:type="dxa"/>
            <w:tcBorders>
              <w:top w:val="single" w:sz="8" w:space="0" w:color="000000"/>
              <w:bottom w:val="double" w:sz="8" w:space="0" w:color="000000"/>
            </w:tcBorders>
          </w:tcPr>
          <w:p>
            <w:pPr>
              <w:pStyle w:val="TableParagraph"/>
              <w:spacing w:before="56"/>
              <w:ind w:left="118" w:right="79"/>
              <w:jc w:val="center"/>
              <w:rPr>
                <w:b/>
                <w:sz w:val="16"/>
              </w:rPr>
            </w:pPr>
            <w:r>
              <w:rPr>
                <w:b/>
                <w:spacing w:val="-2"/>
                <w:sz w:val="16"/>
              </w:rPr>
              <w:t>208.029.387,63</w:t>
            </w:r>
          </w:p>
        </w:tc>
      </w:tr>
      <w:tr>
        <w:trPr>
          <w:trHeight w:val="318" w:hRule="atLeast"/>
        </w:trPr>
        <w:tc>
          <w:tcPr>
            <w:tcW w:w="3186" w:type="dxa"/>
          </w:tcPr>
          <w:p>
            <w:pPr>
              <w:pStyle w:val="TableParagraph"/>
              <w:spacing w:before="77"/>
              <w:ind w:left="50"/>
              <w:rPr>
                <w:sz w:val="16"/>
              </w:rPr>
            </w:pPr>
            <w:r>
              <w:rPr>
                <w:spacing w:val="-2"/>
                <w:sz w:val="16"/>
              </w:rPr>
              <w:t>Entradas</w:t>
            </w:r>
          </w:p>
        </w:tc>
        <w:tc>
          <w:tcPr>
            <w:tcW w:w="1272" w:type="dxa"/>
            <w:tcBorders>
              <w:top w:val="double" w:sz="8" w:space="0" w:color="000000"/>
              <w:bottom w:val="single" w:sz="8" w:space="0" w:color="000000"/>
            </w:tcBorders>
          </w:tcPr>
          <w:p>
            <w:pPr>
              <w:pStyle w:val="TableParagraph"/>
              <w:spacing w:before="77"/>
              <w:ind w:left="118"/>
              <w:jc w:val="center"/>
              <w:rPr>
                <w:sz w:val="16"/>
              </w:rPr>
            </w:pPr>
            <w:r>
              <w:rPr>
                <w:spacing w:val="-2"/>
                <w:sz w:val="16"/>
              </w:rPr>
              <w:t>37.411.914,56</w:t>
            </w:r>
          </w:p>
        </w:tc>
      </w:tr>
      <w:tr>
        <w:trPr>
          <w:trHeight w:val="277" w:hRule="atLeast"/>
        </w:trPr>
        <w:tc>
          <w:tcPr>
            <w:tcW w:w="3186" w:type="dxa"/>
          </w:tcPr>
          <w:p>
            <w:pPr>
              <w:pStyle w:val="TableParagraph"/>
              <w:spacing w:before="56"/>
              <w:ind w:left="50"/>
              <w:rPr>
                <w:b/>
                <w:sz w:val="16"/>
              </w:rPr>
            </w:pPr>
            <w:r>
              <w:rPr>
                <w:b/>
                <w:sz w:val="16"/>
              </w:rPr>
              <w:t>Saldo</w:t>
            </w:r>
            <w:r>
              <w:rPr>
                <w:b/>
                <w:spacing w:val="-7"/>
                <w:sz w:val="16"/>
              </w:rPr>
              <w:t> </w:t>
            </w:r>
            <w:r>
              <w:rPr>
                <w:b/>
                <w:sz w:val="16"/>
              </w:rPr>
              <w:t>al</w:t>
            </w:r>
            <w:r>
              <w:rPr>
                <w:b/>
                <w:spacing w:val="-6"/>
                <w:sz w:val="16"/>
              </w:rPr>
              <w:t> </w:t>
            </w:r>
            <w:r>
              <w:rPr>
                <w:b/>
                <w:spacing w:val="-2"/>
                <w:sz w:val="16"/>
              </w:rPr>
              <w:t>31.12.24</w:t>
            </w:r>
          </w:p>
        </w:tc>
        <w:tc>
          <w:tcPr>
            <w:tcW w:w="1272" w:type="dxa"/>
            <w:tcBorders>
              <w:top w:val="single" w:sz="8" w:space="0" w:color="000000"/>
              <w:bottom w:val="double" w:sz="8" w:space="0" w:color="000000"/>
            </w:tcBorders>
          </w:tcPr>
          <w:p>
            <w:pPr>
              <w:pStyle w:val="TableParagraph"/>
              <w:spacing w:before="56"/>
              <w:ind w:left="118" w:right="79"/>
              <w:jc w:val="center"/>
              <w:rPr>
                <w:b/>
                <w:sz w:val="16"/>
              </w:rPr>
            </w:pPr>
            <w:r>
              <w:rPr>
                <w:b/>
                <w:spacing w:val="-2"/>
                <w:sz w:val="16"/>
              </w:rPr>
              <w:t>245.441.302,19</w:t>
            </w:r>
          </w:p>
        </w:tc>
      </w:tr>
      <w:tr>
        <w:trPr>
          <w:trHeight w:val="277" w:hRule="atLeast"/>
        </w:trPr>
        <w:tc>
          <w:tcPr>
            <w:tcW w:w="3186" w:type="dxa"/>
          </w:tcPr>
          <w:p>
            <w:pPr>
              <w:pStyle w:val="TableParagraph"/>
              <w:spacing w:before="36"/>
              <w:ind w:left="50"/>
              <w:rPr>
                <w:sz w:val="16"/>
              </w:rPr>
            </w:pPr>
            <w:r>
              <w:rPr>
                <w:spacing w:val="-2"/>
                <w:sz w:val="16"/>
              </w:rPr>
              <w:t>Entradas</w:t>
            </w:r>
          </w:p>
        </w:tc>
        <w:tc>
          <w:tcPr>
            <w:tcW w:w="1272" w:type="dxa"/>
            <w:tcBorders>
              <w:top w:val="double" w:sz="8" w:space="0" w:color="000000"/>
              <w:bottom w:val="single" w:sz="8" w:space="0" w:color="000000"/>
            </w:tcBorders>
          </w:tcPr>
          <w:p>
            <w:pPr>
              <w:pStyle w:val="TableParagraph"/>
              <w:spacing w:before="36"/>
              <w:ind w:left="118"/>
              <w:jc w:val="center"/>
              <w:rPr>
                <w:sz w:val="16"/>
              </w:rPr>
            </w:pPr>
            <w:r>
              <w:rPr>
                <w:spacing w:val="-2"/>
                <w:sz w:val="16"/>
              </w:rPr>
              <w:t>32.025.086,30</w:t>
            </w:r>
          </w:p>
        </w:tc>
      </w:tr>
      <w:tr>
        <w:trPr>
          <w:trHeight w:val="280" w:hRule="atLeast"/>
        </w:trPr>
        <w:tc>
          <w:tcPr>
            <w:tcW w:w="3186" w:type="dxa"/>
          </w:tcPr>
          <w:p>
            <w:pPr>
              <w:pStyle w:val="TableParagraph"/>
              <w:spacing w:before="56"/>
              <w:ind w:left="50"/>
              <w:rPr>
                <w:b/>
                <w:sz w:val="16"/>
              </w:rPr>
            </w:pPr>
            <w:r>
              <w:rPr>
                <w:b/>
                <w:sz w:val="16"/>
              </w:rPr>
              <w:t>Saldo</w:t>
            </w:r>
            <w:r>
              <w:rPr>
                <w:b/>
                <w:spacing w:val="-7"/>
                <w:sz w:val="16"/>
              </w:rPr>
              <w:t> </w:t>
            </w:r>
            <w:r>
              <w:rPr>
                <w:b/>
                <w:sz w:val="16"/>
              </w:rPr>
              <w:t>al</w:t>
            </w:r>
            <w:r>
              <w:rPr>
                <w:b/>
                <w:spacing w:val="-6"/>
                <w:sz w:val="16"/>
              </w:rPr>
              <w:t> </w:t>
            </w:r>
            <w:r>
              <w:rPr>
                <w:b/>
                <w:spacing w:val="-2"/>
                <w:sz w:val="16"/>
              </w:rPr>
              <w:t>31.12.25</w:t>
            </w:r>
          </w:p>
        </w:tc>
        <w:tc>
          <w:tcPr>
            <w:tcW w:w="1272" w:type="dxa"/>
            <w:tcBorders>
              <w:top w:val="single" w:sz="8" w:space="0" w:color="000000"/>
              <w:bottom w:val="double" w:sz="8" w:space="0" w:color="000000"/>
            </w:tcBorders>
          </w:tcPr>
          <w:p>
            <w:pPr>
              <w:pStyle w:val="TableParagraph"/>
              <w:spacing w:before="56"/>
              <w:ind w:left="118" w:right="79"/>
              <w:jc w:val="center"/>
              <w:rPr>
                <w:b/>
                <w:sz w:val="16"/>
              </w:rPr>
            </w:pPr>
            <w:r>
              <w:rPr>
                <w:b/>
                <w:spacing w:val="-2"/>
                <w:sz w:val="16"/>
              </w:rPr>
              <w:t>277.466.388,49</w:t>
            </w:r>
          </w:p>
        </w:tc>
      </w:tr>
    </w:tbl>
    <w:p>
      <w:pPr>
        <w:pStyle w:val="BodyText"/>
        <w:spacing w:before="78"/>
        <w:rPr>
          <w:sz w:val="20"/>
        </w:rPr>
      </w:pPr>
    </w:p>
    <w:p>
      <w:pPr>
        <w:pStyle w:val="BodyText"/>
        <w:spacing w:after="0"/>
        <w:rPr>
          <w:sz w:val="20"/>
        </w:rPr>
        <w:sectPr>
          <w:pgSz w:w="11910" w:h="16840"/>
          <w:pgMar w:header="694" w:footer="690" w:top="1920" w:bottom="880" w:left="708" w:right="425"/>
        </w:sectPr>
      </w:pPr>
    </w:p>
    <w:p>
      <w:pPr>
        <w:pStyle w:val="BodyText"/>
        <w:spacing w:before="91"/>
        <w:ind w:left="995"/>
      </w:pPr>
      <w:r>
        <w:rPr>
          <w:spacing w:val="-2"/>
        </w:rPr>
        <w:t>El</w:t>
      </w:r>
      <w:r>
        <w:rPr>
          <w:spacing w:val="-12"/>
        </w:rPr>
        <w:t> </w:t>
      </w:r>
      <w:r>
        <w:rPr>
          <w:spacing w:val="-2"/>
        </w:rPr>
        <w:t>detalle</w:t>
      </w:r>
      <w:r>
        <w:rPr>
          <w:spacing w:val="-12"/>
        </w:rPr>
        <w:t> </w:t>
      </w:r>
      <w:r>
        <w:rPr>
          <w:spacing w:val="-2"/>
        </w:rPr>
        <w:t>de</w:t>
      </w:r>
      <w:r>
        <w:rPr>
          <w:spacing w:val="-12"/>
        </w:rPr>
        <w:t> </w:t>
      </w:r>
      <w:r>
        <w:rPr>
          <w:spacing w:val="-2"/>
        </w:rPr>
        <w:t>los</w:t>
      </w:r>
      <w:r>
        <w:rPr>
          <w:spacing w:val="-11"/>
        </w:rPr>
        <w:t> </w:t>
      </w:r>
      <w:r>
        <w:rPr>
          <w:spacing w:val="-2"/>
        </w:rPr>
        <w:t>movimientos</w:t>
      </w:r>
      <w:r>
        <w:rPr>
          <w:spacing w:val="-12"/>
        </w:rPr>
        <w:t> </w:t>
      </w:r>
      <w:r>
        <w:rPr>
          <w:spacing w:val="-2"/>
        </w:rPr>
        <w:t>para</w:t>
      </w:r>
      <w:r>
        <w:rPr>
          <w:spacing w:val="-12"/>
        </w:rPr>
        <w:t> </w:t>
      </w:r>
      <w:r>
        <w:rPr>
          <w:spacing w:val="-2"/>
        </w:rPr>
        <w:t>el</w:t>
      </w:r>
      <w:r>
        <w:rPr>
          <w:spacing w:val="-11"/>
        </w:rPr>
        <w:t> </w:t>
      </w:r>
      <w:r>
        <w:rPr>
          <w:spacing w:val="-2"/>
        </w:rPr>
        <w:t>ejercicio</w:t>
      </w:r>
      <w:r>
        <w:rPr>
          <w:spacing w:val="-11"/>
        </w:rPr>
        <w:t> </w:t>
      </w:r>
      <w:r>
        <w:rPr>
          <w:spacing w:val="-2"/>
        </w:rPr>
        <w:t>2025:</w:t>
      </w:r>
    </w:p>
    <w:p>
      <w:pPr>
        <w:pStyle w:val="BodyText"/>
        <w:spacing w:before="2"/>
      </w:pPr>
    </w:p>
    <w:p>
      <w:pPr>
        <w:tabs>
          <w:tab w:pos="5641" w:val="left" w:leader="none"/>
          <w:tab w:pos="6893" w:val="left" w:leader="none"/>
        </w:tabs>
        <w:spacing w:line="190" w:lineRule="exact" w:before="0"/>
        <w:ind w:left="2969" w:right="0" w:firstLine="0"/>
        <w:jc w:val="left"/>
        <w:rPr>
          <w:b/>
          <w:position w:val="9"/>
          <w:sz w:val="16"/>
        </w:rPr>
      </w:pPr>
      <w:r>
        <w:rPr>
          <w:b/>
          <w:spacing w:val="-2"/>
          <w:sz w:val="16"/>
        </w:rPr>
        <w:t>Concepto</w:t>
      </w:r>
      <w:r>
        <w:rPr>
          <w:b/>
          <w:sz w:val="16"/>
        </w:rPr>
        <w:tab/>
      </w:r>
      <w:r>
        <w:rPr>
          <w:b/>
          <w:spacing w:val="-4"/>
          <w:sz w:val="16"/>
        </w:rPr>
        <w:t>2024</w:t>
      </w:r>
      <w:r>
        <w:rPr>
          <w:b/>
          <w:sz w:val="16"/>
        </w:rPr>
        <w:tab/>
      </w:r>
      <w:r>
        <w:rPr>
          <w:b/>
          <w:spacing w:val="-2"/>
          <w:position w:val="9"/>
          <w:sz w:val="16"/>
        </w:rPr>
        <w:t>Adiciones/</w:t>
      </w:r>
    </w:p>
    <w:p>
      <w:pPr>
        <w:pStyle w:val="BodyText"/>
        <w:rPr>
          <w:b/>
          <w:sz w:val="16"/>
        </w:rPr>
      </w:pPr>
      <w:r>
        <w:rPr/>
        <w:br w:type="column"/>
      </w:r>
      <w:r>
        <w:rPr>
          <w:b/>
          <w:sz w:val="16"/>
        </w:rPr>
      </w:r>
    </w:p>
    <w:p>
      <w:pPr>
        <w:pStyle w:val="BodyText"/>
        <w:rPr>
          <w:b/>
          <w:sz w:val="16"/>
        </w:rPr>
      </w:pPr>
    </w:p>
    <w:p>
      <w:pPr>
        <w:pStyle w:val="BodyText"/>
        <w:spacing w:before="137"/>
        <w:rPr>
          <w:b/>
          <w:sz w:val="16"/>
        </w:rPr>
      </w:pPr>
    </w:p>
    <w:p>
      <w:pPr>
        <w:spacing w:line="100" w:lineRule="exact" w:before="0"/>
        <w:ind w:left="830" w:right="0" w:firstLine="0"/>
        <w:jc w:val="left"/>
        <w:rPr>
          <w:b/>
          <w:sz w:val="16"/>
        </w:rPr>
      </w:pPr>
      <w:r>
        <w:rPr>
          <w:b/>
          <w:spacing w:val="-4"/>
          <w:sz w:val="16"/>
        </w:rPr>
        <w:t>2025</w:t>
      </w:r>
    </w:p>
    <w:p>
      <w:pPr>
        <w:spacing w:after="0" w:line="100" w:lineRule="exact"/>
        <w:jc w:val="left"/>
        <w:rPr>
          <w:b/>
          <w:sz w:val="16"/>
        </w:rPr>
        <w:sectPr>
          <w:type w:val="continuous"/>
          <w:pgSz w:w="11910" w:h="16840"/>
          <w:pgMar w:header="694" w:footer="690" w:top="1920" w:bottom="280" w:left="708" w:right="425"/>
          <w:cols w:num="2" w:equalWidth="0">
            <w:col w:w="7604" w:space="40"/>
            <w:col w:w="3133"/>
          </w:cols>
        </w:sectPr>
      </w:pPr>
    </w:p>
    <w:p>
      <w:pPr>
        <w:tabs>
          <w:tab w:pos="6951" w:val="left" w:leader="none"/>
          <w:tab w:pos="7861" w:val="left" w:leader="none"/>
          <w:tab w:pos="9284" w:val="left" w:leader="none"/>
        </w:tabs>
        <w:spacing w:line="177" w:lineRule="exact" w:before="0" w:after="10"/>
        <w:ind w:left="6638" w:right="0" w:firstLine="0"/>
        <w:jc w:val="left"/>
        <w:rPr>
          <w:b/>
          <w:sz w:val="16"/>
        </w:rPr>
      </w:pPr>
      <w:r>
        <w:rPr>
          <w:b/>
          <w:sz w:val="16"/>
          <w:u w:val="single"/>
        </w:rPr>
        <w:tab/>
      </w:r>
      <w:r>
        <w:rPr>
          <w:b/>
          <w:spacing w:val="-2"/>
          <w:sz w:val="16"/>
          <w:u w:val="single"/>
        </w:rPr>
        <w:t>(Salidas)</w:t>
      </w:r>
      <w:r>
        <w:rPr>
          <w:b/>
          <w:sz w:val="16"/>
          <w:u w:val="single"/>
        </w:rPr>
        <w:tab/>
      </w:r>
      <w:r>
        <w:rPr>
          <w:b/>
          <w:spacing w:val="119"/>
          <w:sz w:val="16"/>
          <w:u w:val="none"/>
        </w:rPr>
        <w:t> </w:t>
      </w:r>
      <w:r>
        <w:rPr>
          <w:b/>
          <w:sz w:val="16"/>
          <w:u w:val="single"/>
        </w:rPr>
        <w:tab/>
      </w:r>
    </w:p>
    <w:tbl>
      <w:tblPr>
        <w:tblW w:w="0" w:type="auto"/>
        <w:jc w:val="left"/>
        <w:tblInd w:w="1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44"/>
        <w:gridCol w:w="214"/>
        <w:gridCol w:w="1341"/>
        <w:gridCol w:w="161"/>
        <w:gridCol w:w="1231"/>
        <w:gridCol w:w="153"/>
        <w:gridCol w:w="1237"/>
      </w:tblGrid>
      <w:tr>
        <w:trPr>
          <w:trHeight w:val="230" w:hRule="atLeast"/>
        </w:trPr>
        <w:tc>
          <w:tcPr>
            <w:tcW w:w="3244" w:type="dxa"/>
            <w:tcBorders>
              <w:top w:val="single" w:sz="8" w:space="0" w:color="000000"/>
            </w:tcBorders>
          </w:tcPr>
          <w:p>
            <w:pPr>
              <w:pStyle w:val="TableParagraph"/>
              <w:spacing w:before="20"/>
              <w:ind w:left="69"/>
              <w:rPr>
                <w:sz w:val="16"/>
              </w:rPr>
            </w:pPr>
            <w:r>
              <w:rPr>
                <w:sz w:val="16"/>
              </w:rPr>
              <w:t>Actuaciones</w:t>
            </w:r>
            <w:r>
              <w:rPr>
                <w:spacing w:val="-7"/>
                <w:sz w:val="16"/>
              </w:rPr>
              <w:t> </w:t>
            </w:r>
            <w:r>
              <w:rPr>
                <w:sz w:val="16"/>
              </w:rPr>
              <w:t>de</w:t>
            </w:r>
            <w:r>
              <w:rPr>
                <w:spacing w:val="-6"/>
                <w:sz w:val="16"/>
              </w:rPr>
              <w:t> </w:t>
            </w:r>
            <w:r>
              <w:rPr>
                <w:spacing w:val="-2"/>
                <w:sz w:val="16"/>
              </w:rPr>
              <w:t>integración</w:t>
            </w:r>
          </w:p>
        </w:tc>
        <w:tc>
          <w:tcPr>
            <w:tcW w:w="4337" w:type="dxa"/>
            <w:gridSpan w:val="6"/>
          </w:tcPr>
          <w:p>
            <w:pPr>
              <w:pStyle w:val="TableParagraph"/>
              <w:rPr>
                <w:sz w:val="16"/>
              </w:rPr>
            </w:pPr>
          </w:p>
        </w:tc>
      </w:tr>
      <w:tr>
        <w:trPr>
          <w:trHeight w:val="227" w:hRule="atLeast"/>
        </w:trPr>
        <w:tc>
          <w:tcPr>
            <w:tcW w:w="3244" w:type="dxa"/>
          </w:tcPr>
          <w:p>
            <w:pPr>
              <w:pStyle w:val="TableParagraph"/>
              <w:spacing w:before="18"/>
              <w:ind w:left="390"/>
              <w:rPr>
                <w:sz w:val="16"/>
              </w:rPr>
            </w:pPr>
            <w:r>
              <w:rPr>
                <w:sz w:val="16"/>
              </w:rPr>
              <w:t>Proyectos</w:t>
            </w:r>
            <w:r>
              <w:rPr>
                <w:spacing w:val="-8"/>
                <w:sz w:val="16"/>
              </w:rPr>
              <w:t> </w:t>
            </w:r>
            <w:r>
              <w:rPr>
                <w:spacing w:val="-2"/>
                <w:sz w:val="16"/>
              </w:rPr>
              <w:t>ferroviarios</w:t>
            </w:r>
          </w:p>
        </w:tc>
        <w:tc>
          <w:tcPr>
            <w:tcW w:w="214" w:type="dxa"/>
          </w:tcPr>
          <w:p>
            <w:pPr>
              <w:pStyle w:val="TableParagraph"/>
              <w:rPr>
                <w:sz w:val="16"/>
              </w:rPr>
            </w:pPr>
          </w:p>
        </w:tc>
        <w:tc>
          <w:tcPr>
            <w:tcW w:w="1341" w:type="dxa"/>
          </w:tcPr>
          <w:p>
            <w:pPr>
              <w:pStyle w:val="TableParagraph"/>
              <w:spacing w:before="18"/>
              <w:ind w:right="69"/>
              <w:jc w:val="right"/>
              <w:rPr>
                <w:sz w:val="16"/>
              </w:rPr>
            </w:pPr>
            <w:r>
              <w:rPr>
                <w:spacing w:val="-2"/>
                <w:sz w:val="16"/>
              </w:rPr>
              <w:t>4.959.549,86</w:t>
            </w:r>
          </w:p>
        </w:tc>
        <w:tc>
          <w:tcPr>
            <w:tcW w:w="161" w:type="dxa"/>
          </w:tcPr>
          <w:p>
            <w:pPr>
              <w:pStyle w:val="TableParagraph"/>
              <w:rPr>
                <w:sz w:val="16"/>
              </w:rPr>
            </w:pPr>
          </w:p>
        </w:tc>
        <w:tc>
          <w:tcPr>
            <w:tcW w:w="1231" w:type="dxa"/>
          </w:tcPr>
          <w:p>
            <w:pPr>
              <w:pStyle w:val="TableParagraph"/>
              <w:spacing w:before="18"/>
              <w:ind w:right="70"/>
              <w:jc w:val="right"/>
              <w:rPr>
                <w:sz w:val="16"/>
              </w:rPr>
            </w:pPr>
            <w:r>
              <w:rPr>
                <w:spacing w:val="-10"/>
                <w:sz w:val="16"/>
              </w:rPr>
              <w:t>-</w:t>
            </w:r>
          </w:p>
        </w:tc>
        <w:tc>
          <w:tcPr>
            <w:tcW w:w="153" w:type="dxa"/>
          </w:tcPr>
          <w:p>
            <w:pPr>
              <w:pStyle w:val="TableParagraph"/>
              <w:rPr>
                <w:sz w:val="16"/>
              </w:rPr>
            </w:pPr>
          </w:p>
        </w:tc>
        <w:tc>
          <w:tcPr>
            <w:tcW w:w="1237" w:type="dxa"/>
          </w:tcPr>
          <w:p>
            <w:pPr>
              <w:pStyle w:val="TableParagraph"/>
              <w:spacing w:before="18"/>
              <w:ind w:right="72"/>
              <w:jc w:val="right"/>
              <w:rPr>
                <w:sz w:val="16"/>
              </w:rPr>
            </w:pPr>
            <w:r>
              <w:rPr>
                <w:spacing w:val="-2"/>
                <w:sz w:val="16"/>
              </w:rPr>
              <w:t>4.959.549,86</w:t>
            </w:r>
          </w:p>
        </w:tc>
      </w:tr>
      <w:tr>
        <w:trPr>
          <w:trHeight w:val="226" w:hRule="atLeast"/>
        </w:trPr>
        <w:tc>
          <w:tcPr>
            <w:tcW w:w="3244" w:type="dxa"/>
          </w:tcPr>
          <w:p>
            <w:pPr>
              <w:pStyle w:val="TableParagraph"/>
              <w:spacing w:before="18"/>
              <w:ind w:left="390"/>
              <w:rPr>
                <w:sz w:val="16"/>
              </w:rPr>
            </w:pPr>
            <w:r>
              <w:rPr>
                <w:sz w:val="16"/>
              </w:rPr>
              <w:t>Obra</w:t>
            </w:r>
            <w:r>
              <w:rPr>
                <w:spacing w:val="-5"/>
                <w:sz w:val="16"/>
              </w:rPr>
              <w:t> </w:t>
            </w:r>
            <w:r>
              <w:rPr>
                <w:sz w:val="16"/>
              </w:rPr>
              <w:t>Fases</w:t>
            </w:r>
            <w:r>
              <w:rPr>
                <w:spacing w:val="-3"/>
                <w:sz w:val="16"/>
              </w:rPr>
              <w:t> </w:t>
            </w:r>
            <w:r>
              <w:rPr>
                <w:sz w:val="16"/>
              </w:rPr>
              <w:t>1</w:t>
            </w:r>
            <w:r>
              <w:rPr>
                <w:spacing w:val="-4"/>
                <w:sz w:val="16"/>
              </w:rPr>
              <w:t> </w:t>
            </w:r>
            <w:r>
              <w:rPr>
                <w:sz w:val="16"/>
              </w:rPr>
              <w:t>y</w:t>
            </w:r>
            <w:r>
              <w:rPr>
                <w:spacing w:val="-3"/>
                <w:sz w:val="16"/>
              </w:rPr>
              <w:t> </w:t>
            </w:r>
            <w:r>
              <w:rPr>
                <w:spacing w:val="-10"/>
                <w:sz w:val="16"/>
              </w:rPr>
              <w:t>2</w:t>
            </w:r>
          </w:p>
        </w:tc>
        <w:tc>
          <w:tcPr>
            <w:tcW w:w="214" w:type="dxa"/>
          </w:tcPr>
          <w:p>
            <w:pPr>
              <w:pStyle w:val="TableParagraph"/>
              <w:rPr>
                <w:sz w:val="16"/>
              </w:rPr>
            </w:pPr>
          </w:p>
        </w:tc>
        <w:tc>
          <w:tcPr>
            <w:tcW w:w="1341" w:type="dxa"/>
          </w:tcPr>
          <w:p>
            <w:pPr>
              <w:pStyle w:val="TableParagraph"/>
              <w:spacing w:before="18"/>
              <w:ind w:right="69"/>
              <w:jc w:val="right"/>
              <w:rPr>
                <w:sz w:val="16"/>
              </w:rPr>
            </w:pPr>
            <w:r>
              <w:rPr>
                <w:spacing w:val="-2"/>
                <w:sz w:val="16"/>
              </w:rPr>
              <w:t>236.129.259,58</w:t>
            </w:r>
          </w:p>
        </w:tc>
        <w:tc>
          <w:tcPr>
            <w:tcW w:w="161" w:type="dxa"/>
          </w:tcPr>
          <w:p>
            <w:pPr>
              <w:pStyle w:val="TableParagraph"/>
              <w:rPr>
                <w:sz w:val="16"/>
              </w:rPr>
            </w:pPr>
          </w:p>
        </w:tc>
        <w:tc>
          <w:tcPr>
            <w:tcW w:w="1231" w:type="dxa"/>
          </w:tcPr>
          <w:p>
            <w:pPr>
              <w:pStyle w:val="TableParagraph"/>
              <w:spacing w:before="18"/>
              <w:ind w:right="71"/>
              <w:jc w:val="right"/>
              <w:rPr>
                <w:sz w:val="16"/>
              </w:rPr>
            </w:pPr>
            <w:r>
              <w:rPr>
                <w:spacing w:val="-2"/>
                <w:sz w:val="16"/>
              </w:rPr>
              <w:t>31.575.920,14</w:t>
            </w:r>
          </w:p>
        </w:tc>
        <w:tc>
          <w:tcPr>
            <w:tcW w:w="153" w:type="dxa"/>
          </w:tcPr>
          <w:p>
            <w:pPr>
              <w:pStyle w:val="TableParagraph"/>
              <w:rPr>
                <w:sz w:val="16"/>
              </w:rPr>
            </w:pPr>
          </w:p>
        </w:tc>
        <w:tc>
          <w:tcPr>
            <w:tcW w:w="1237" w:type="dxa"/>
          </w:tcPr>
          <w:p>
            <w:pPr>
              <w:pStyle w:val="TableParagraph"/>
              <w:spacing w:before="18"/>
              <w:ind w:right="72"/>
              <w:jc w:val="right"/>
              <w:rPr>
                <w:sz w:val="16"/>
              </w:rPr>
            </w:pPr>
            <w:r>
              <w:rPr>
                <w:spacing w:val="-2"/>
                <w:sz w:val="16"/>
              </w:rPr>
              <w:t>267.705.179,72</w:t>
            </w:r>
          </w:p>
        </w:tc>
      </w:tr>
      <w:tr>
        <w:trPr>
          <w:trHeight w:val="226" w:hRule="atLeast"/>
        </w:trPr>
        <w:tc>
          <w:tcPr>
            <w:tcW w:w="3244" w:type="dxa"/>
          </w:tcPr>
          <w:p>
            <w:pPr>
              <w:pStyle w:val="TableParagraph"/>
              <w:spacing w:before="18"/>
              <w:ind w:left="390"/>
              <w:rPr>
                <w:sz w:val="16"/>
              </w:rPr>
            </w:pPr>
            <w:r>
              <w:rPr>
                <w:sz w:val="16"/>
              </w:rPr>
              <w:t>Intermodalidad</w:t>
            </w:r>
            <w:r>
              <w:rPr>
                <w:spacing w:val="-5"/>
                <w:sz w:val="16"/>
              </w:rPr>
              <w:t> </w:t>
            </w:r>
            <w:r>
              <w:rPr>
                <w:sz w:val="16"/>
              </w:rPr>
              <w:t>-</w:t>
            </w:r>
            <w:r>
              <w:rPr>
                <w:spacing w:val="-5"/>
                <w:sz w:val="16"/>
              </w:rPr>
              <w:t> </w:t>
            </w:r>
            <w:r>
              <w:rPr>
                <w:sz w:val="16"/>
              </w:rPr>
              <w:t>Estación</w:t>
            </w:r>
            <w:r>
              <w:rPr>
                <w:spacing w:val="-4"/>
                <w:sz w:val="16"/>
              </w:rPr>
              <w:t> </w:t>
            </w:r>
            <w:r>
              <w:rPr>
                <w:sz w:val="16"/>
              </w:rPr>
              <w:t>de</w:t>
            </w:r>
            <w:r>
              <w:rPr>
                <w:spacing w:val="-6"/>
                <w:sz w:val="16"/>
              </w:rPr>
              <w:t> </w:t>
            </w:r>
            <w:r>
              <w:rPr>
                <w:spacing w:val="-2"/>
                <w:sz w:val="16"/>
              </w:rPr>
              <w:t>autobuses</w:t>
            </w:r>
          </w:p>
        </w:tc>
        <w:tc>
          <w:tcPr>
            <w:tcW w:w="214" w:type="dxa"/>
          </w:tcPr>
          <w:p>
            <w:pPr>
              <w:pStyle w:val="TableParagraph"/>
              <w:rPr>
                <w:sz w:val="16"/>
              </w:rPr>
            </w:pPr>
          </w:p>
        </w:tc>
        <w:tc>
          <w:tcPr>
            <w:tcW w:w="1341" w:type="dxa"/>
          </w:tcPr>
          <w:p>
            <w:pPr>
              <w:pStyle w:val="TableParagraph"/>
              <w:spacing w:before="18"/>
              <w:ind w:right="69"/>
              <w:jc w:val="right"/>
              <w:rPr>
                <w:sz w:val="16"/>
              </w:rPr>
            </w:pPr>
            <w:r>
              <w:rPr>
                <w:spacing w:val="-2"/>
                <w:sz w:val="16"/>
              </w:rPr>
              <w:t>85.910,00</w:t>
            </w:r>
          </w:p>
        </w:tc>
        <w:tc>
          <w:tcPr>
            <w:tcW w:w="161" w:type="dxa"/>
          </w:tcPr>
          <w:p>
            <w:pPr>
              <w:pStyle w:val="TableParagraph"/>
              <w:rPr>
                <w:sz w:val="16"/>
              </w:rPr>
            </w:pPr>
          </w:p>
        </w:tc>
        <w:tc>
          <w:tcPr>
            <w:tcW w:w="1231" w:type="dxa"/>
          </w:tcPr>
          <w:p>
            <w:pPr>
              <w:pStyle w:val="TableParagraph"/>
              <w:spacing w:before="18"/>
              <w:ind w:right="71"/>
              <w:jc w:val="right"/>
              <w:rPr>
                <w:sz w:val="16"/>
              </w:rPr>
            </w:pPr>
            <w:r>
              <w:rPr>
                <w:spacing w:val="-2"/>
                <w:sz w:val="16"/>
              </w:rPr>
              <w:t>-178,99</w:t>
            </w:r>
          </w:p>
        </w:tc>
        <w:tc>
          <w:tcPr>
            <w:tcW w:w="153" w:type="dxa"/>
          </w:tcPr>
          <w:p>
            <w:pPr>
              <w:pStyle w:val="TableParagraph"/>
              <w:rPr>
                <w:sz w:val="16"/>
              </w:rPr>
            </w:pPr>
          </w:p>
        </w:tc>
        <w:tc>
          <w:tcPr>
            <w:tcW w:w="1237" w:type="dxa"/>
          </w:tcPr>
          <w:p>
            <w:pPr>
              <w:pStyle w:val="TableParagraph"/>
              <w:spacing w:before="18"/>
              <w:ind w:right="72"/>
              <w:jc w:val="right"/>
              <w:rPr>
                <w:sz w:val="16"/>
              </w:rPr>
            </w:pPr>
            <w:r>
              <w:rPr>
                <w:spacing w:val="-2"/>
                <w:sz w:val="16"/>
              </w:rPr>
              <w:t>85.731,01</w:t>
            </w:r>
          </w:p>
        </w:tc>
      </w:tr>
      <w:tr>
        <w:trPr>
          <w:trHeight w:val="226" w:hRule="atLeast"/>
        </w:trPr>
        <w:tc>
          <w:tcPr>
            <w:tcW w:w="3244" w:type="dxa"/>
          </w:tcPr>
          <w:p>
            <w:pPr>
              <w:pStyle w:val="TableParagraph"/>
              <w:spacing w:before="18"/>
              <w:ind w:left="390"/>
              <w:rPr>
                <w:sz w:val="16"/>
              </w:rPr>
            </w:pPr>
            <w:r>
              <w:rPr>
                <w:sz w:val="16"/>
              </w:rPr>
              <w:t>Aparcamiento</w:t>
            </w:r>
            <w:r>
              <w:rPr>
                <w:spacing w:val="-8"/>
                <w:sz w:val="16"/>
              </w:rPr>
              <w:t> </w:t>
            </w:r>
            <w:r>
              <w:rPr>
                <w:sz w:val="16"/>
              </w:rPr>
              <w:t>estación</w:t>
            </w:r>
            <w:r>
              <w:rPr>
                <w:spacing w:val="-8"/>
                <w:sz w:val="16"/>
              </w:rPr>
              <w:t> </w:t>
            </w:r>
            <w:r>
              <w:rPr>
                <w:spacing w:val="-2"/>
                <w:sz w:val="16"/>
              </w:rPr>
              <w:t>intermodal</w:t>
            </w:r>
          </w:p>
        </w:tc>
        <w:tc>
          <w:tcPr>
            <w:tcW w:w="214" w:type="dxa"/>
          </w:tcPr>
          <w:p>
            <w:pPr>
              <w:pStyle w:val="TableParagraph"/>
              <w:rPr>
                <w:sz w:val="16"/>
              </w:rPr>
            </w:pPr>
          </w:p>
        </w:tc>
        <w:tc>
          <w:tcPr>
            <w:tcW w:w="1341" w:type="dxa"/>
          </w:tcPr>
          <w:p>
            <w:pPr>
              <w:pStyle w:val="TableParagraph"/>
              <w:spacing w:before="18"/>
              <w:ind w:right="69"/>
              <w:jc w:val="right"/>
              <w:rPr>
                <w:sz w:val="16"/>
              </w:rPr>
            </w:pPr>
            <w:r>
              <w:rPr>
                <w:spacing w:val="-2"/>
                <w:sz w:val="16"/>
              </w:rPr>
              <w:t>10.500,00</w:t>
            </w:r>
          </w:p>
        </w:tc>
        <w:tc>
          <w:tcPr>
            <w:tcW w:w="161" w:type="dxa"/>
          </w:tcPr>
          <w:p>
            <w:pPr>
              <w:pStyle w:val="TableParagraph"/>
              <w:rPr>
                <w:sz w:val="16"/>
              </w:rPr>
            </w:pPr>
          </w:p>
        </w:tc>
        <w:tc>
          <w:tcPr>
            <w:tcW w:w="1231" w:type="dxa"/>
          </w:tcPr>
          <w:p>
            <w:pPr>
              <w:pStyle w:val="TableParagraph"/>
              <w:spacing w:before="18"/>
              <w:ind w:right="70"/>
              <w:jc w:val="right"/>
              <w:rPr>
                <w:sz w:val="16"/>
              </w:rPr>
            </w:pPr>
            <w:r>
              <w:rPr>
                <w:spacing w:val="-10"/>
                <w:sz w:val="16"/>
              </w:rPr>
              <w:t>-</w:t>
            </w:r>
          </w:p>
        </w:tc>
        <w:tc>
          <w:tcPr>
            <w:tcW w:w="153" w:type="dxa"/>
          </w:tcPr>
          <w:p>
            <w:pPr>
              <w:pStyle w:val="TableParagraph"/>
              <w:rPr>
                <w:sz w:val="16"/>
              </w:rPr>
            </w:pPr>
          </w:p>
        </w:tc>
        <w:tc>
          <w:tcPr>
            <w:tcW w:w="1237" w:type="dxa"/>
          </w:tcPr>
          <w:p>
            <w:pPr>
              <w:pStyle w:val="TableParagraph"/>
              <w:spacing w:before="18"/>
              <w:ind w:right="72"/>
              <w:jc w:val="right"/>
              <w:rPr>
                <w:sz w:val="16"/>
              </w:rPr>
            </w:pPr>
            <w:r>
              <w:rPr>
                <w:spacing w:val="-2"/>
                <w:sz w:val="16"/>
              </w:rPr>
              <w:t>10.500,00</w:t>
            </w:r>
          </w:p>
        </w:tc>
      </w:tr>
      <w:tr>
        <w:trPr>
          <w:trHeight w:val="226" w:hRule="atLeast"/>
        </w:trPr>
        <w:tc>
          <w:tcPr>
            <w:tcW w:w="3244" w:type="dxa"/>
          </w:tcPr>
          <w:p>
            <w:pPr>
              <w:pStyle w:val="TableParagraph"/>
              <w:spacing w:before="18"/>
              <w:ind w:left="69"/>
              <w:rPr>
                <w:sz w:val="16"/>
              </w:rPr>
            </w:pPr>
            <w:r>
              <w:rPr>
                <w:sz w:val="16"/>
              </w:rPr>
              <w:t>Actuaciones</w:t>
            </w:r>
            <w:r>
              <w:rPr>
                <w:spacing w:val="-9"/>
                <w:sz w:val="16"/>
              </w:rPr>
              <w:t> </w:t>
            </w:r>
            <w:r>
              <w:rPr>
                <w:sz w:val="16"/>
              </w:rPr>
              <w:t>urbanísticas</w:t>
            </w:r>
            <w:r>
              <w:rPr>
                <w:spacing w:val="-7"/>
                <w:sz w:val="16"/>
              </w:rPr>
              <w:t> </w:t>
            </w:r>
            <w:r>
              <w:rPr>
                <w:sz w:val="16"/>
              </w:rPr>
              <w:t>-</w:t>
            </w:r>
            <w:r>
              <w:rPr>
                <w:spacing w:val="-9"/>
                <w:sz w:val="16"/>
              </w:rPr>
              <w:t> </w:t>
            </w:r>
            <w:r>
              <w:rPr>
                <w:spacing w:val="-2"/>
                <w:sz w:val="16"/>
              </w:rPr>
              <w:t>Proyectos</w:t>
            </w:r>
          </w:p>
        </w:tc>
        <w:tc>
          <w:tcPr>
            <w:tcW w:w="214" w:type="dxa"/>
          </w:tcPr>
          <w:p>
            <w:pPr>
              <w:pStyle w:val="TableParagraph"/>
              <w:rPr>
                <w:sz w:val="16"/>
              </w:rPr>
            </w:pPr>
          </w:p>
        </w:tc>
        <w:tc>
          <w:tcPr>
            <w:tcW w:w="1341" w:type="dxa"/>
          </w:tcPr>
          <w:p>
            <w:pPr>
              <w:pStyle w:val="TableParagraph"/>
              <w:spacing w:before="18"/>
              <w:ind w:right="69"/>
              <w:jc w:val="right"/>
              <w:rPr>
                <w:sz w:val="16"/>
              </w:rPr>
            </w:pPr>
            <w:r>
              <w:rPr>
                <w:spacing w:val="-2"/>
                <w:sz w:val="16"/>
              </w:rPr>
              <w:t>727.359,18</w:t>
            </w:r>
          </w:p>
        </w:tc>
        <w:tc>
          <w:tcPr>
            <w:tcW w:w="161" w:type="dxa"/>
          </w:tcPr>
          <w:p>
            <w:pPr>
              <w:pStyle w:val="TableParagraph"/>
              <w:rPr>
                <w:sz w:val="16"/>
              </w:rPr>
            </w:pPr>
          </w:p>
        </w:tc>
        <w:tc>
          <w:tcPr>
            <w:tcW w:w="1231" w:type="dxa"/>
          </w:tcPr>
          <w:p>
            <w:pPr>
              <w:pStyle w:val="TableParagraph"/>
              <w:spacing w:before="18"/>
              <w:ind w:right="70"/>
              <w:jc w:val="right"/>
              <w:rPr>
                <w:sz w:val="16"/>
              </w:rPr>
            </w:pPr>
            <w:r>
              <w:rPr>
                <w:spacing w:val="-2"/>
                <w:sz w:val="16"/>
              </w:rPr>
              <w:t>251.260,30</w:t>
            </w:r>
          </w:p>
        </w:tc>
        <w:tc>
          <w:tcPr>
            <w:tcW w:w="153" w:type="dxa"/>
          </w:tcPr>
          <w:p>
            <w:pPr>
              <w:pStyle w:val="TableParagraph"/>
              <w:rPr>
                <w:sz w:val="16"/>
              </w:rPr>
            </w:pPr>
          </w:p>
        </w:tc>
        <w:tc>
          <w:tcPr>
            <w:tcW w:w="1237" w:type="dxa"/>
          </w:tcPr>
          <w:p>
            <w:pPr>
              <w:pStyle w:val="TableParagraph"/>
              <w:spacing w:before="18"/>
              <w:ind w:right="72"/>
              <w:jc w:val="right"/>
              <w:rPr>
                <w:sz w:val="16"/>
              </w:rPr>
            </w:pPr>
            <w:r>
              <w:rPr>
                <w:spacing w:val="-2"/>
                <w:sz w:val="16"/>
              </w:rPr>
              <w:t>978.619,48</w:t>
            </w:r>
          </w:p>
        </w:tc>
      </w:tr>
      <w:tr>
        <w:trPr>
          <w:trHeight w:val="227" w:hRule="atLeast"/>
        </w:trPr>
        <w:tc>
          <w:tcPr>
            <w:tcW w:w="3244" w:type="dxa"/>
          </w:tcPr>
          <w:p>
            <w:pPr>
              <w:pStyle w:val="TableParagraph"/>
              <w:spacing w:before="18"/>
              <w:ind w:left="69"/>
              <w:rPr>
                <w:sz w:val="16"/>
              </w:rPr>
            </w:pPr>
            <w:r>
              <w:rPr>
                <w:sz w:val="16"/>
              </w:rPr>
              <w:t>Otros</w:t>
            </w:r>
            <w:r>
              <w:rPr>
                <w:spacing w:val="-7"/>
                <w:sz w:val="16"/>
              </w:rPr>
              <w:t> </w:t>
            </w:r>
            <w:r>
              <w:rPr>
                <w:sz w:val="16"/>
              </w:rPr>
              <w:t>gastos</w:t>
            </w:r>
            <w:r>
              <w:rPr>
                <w:spacing w:val="-8"/>
                <w:sz w:val="16"/>
              </w:rPr>
              <w:t> </w:t>
            </w:r>
            <w:r>
              <w:rPr>
                <w:spacing w:val="-2"/>
                <w:sz w:val="16"/>
              </w:rPr>
              <w:t>operativos</w:t>
            </w:r>
          </w:p>
        </w:tc>
        <w:tc>
          <w:tcPr>
            <w:tcW w:w="214" w:type="dxa"/>
          </w:tcPr>
          <w:p>
            <w:pPr>
              <w:pStyle w:val="TableParagraph"/>
              <w:rPr>
                <w:sz w:val="16"/>
              </w:rPr>
            </w:pPr>
          </w:p>
        </w:tc>
        <w:tc>
          <w:tcPr>
            <w:tcW w:w="1341" w:type="dxa"/>
          </w:tcPr>
          <w:p>
            <w:pPr>
              <w:pStyle w:val="TableParagraph"/>
              <w:spacing w:before="18"/>
              <w:ind w:right="69"/>
              <w:jc w:val="right"/>
              <w:rPr>
                <w:sz w:val="16"/>
              </w:rPr>
            </w:pPr>
            <w:r>
              <w:rPr>
                <w:spacing w:val="-2"/>
                <w:sz w:val="16"/>
              </w:rPr>
              <w:t>2.621.051,57</w:t>
            </w:r>
          </w:p>
        </w:tc>
        <w:tc>
          <w:tcPr>
            <w:tcW w:w="161" w:type="dxa"/>
          </w:tcPr>
          <w:p>
            <w:pPr>
              <w:pStyle w:val="TableParagraph"/>
              <w:rPr>
                <w:sz w:val="16"/>
              </w:rPr>
            </w:pPr>
          </w:p>
        </w:tc>
        <w:tc>
          <w:tcPr>
            <w:tcW w:w="1231" w:type="dxa"/>
          </w:tcPr>
          <w:p>
            <w:pPr>
              <w:pStyle w:val="TableParagraph"/>
              <w:spacing w:before="18"/>
              <w:ind w:right="70"/>
              <w:jc w:val="right"/>
              <w:rPr>
                <w:sz w:val="16"/>
              </w:rPr>
            </w:pPr>
            <w:r>
              <w:rPr>
                <w:spacing w:val="-2"/>
                <w:sz w:val="16"/>
              </w:rPr>
              <w:t>198.084,85</w:t>
            </w:r>
          </w:p>
        </w:tc>
        <w:tc>
          <w:tcPr>
            <w:tcW w:w="153" w:type="dxa"/>
          </w:tcPr>
          <w:p>
            <w:pPr>
              <w:pStyle w:val="TableParagraph"/>
              <w:rPr>
                <w:sz w:val="16"/>
              </w:rPr>
            </w:pPr>
          </w:p>
        </w:tc>
        <w:tc>
          <w:tcPr>
            <w:tcW w:w="1237" w:type="dxa"/>
          </w:tcPr>
          <w:p>
            <w:pPr>
              <w:pStyle w:val="TableParagraph"/>
              <w:spacing w:before="18"/>
              <w:ind w:right="72"/>
              <w:jc w:val="right"/>
              <w:rPr>
                <w:sz w:val="16"/>
              </w:rPr>
            </w:pPr>
            <w:r>
              <w:rPr>
                <w:spacing w:val="-2"/>
                <w:sz w:val="16"/>
              </w:rPr>
              <w:t>2.819.136,42</w:t>
            </w:r>
          </w:p>
        </w:tc>
      </w:tr>
      <w:tr>
        <w:trPr>
          <w:trHeight w:val="223" w:hRule="atLeast"/>
        </w:trPr>
        <w:tc>
          <w:tcPr>
            <w:tcW w:w="3244" w:type="dxa"/>
          </w:tcPr>
          <w:p>
            <w:pPr>
              <w:pStyle w:val="TableParagraph"/>
              <w:spacing w:before="18"/>
              <w:ind w:left="69"/>
              <w:rPr>
                <w:sz w:val="16"/>
              </w:rPr>
            </w:pPr>
            <w:r>
              <w:rPr>
                <w:sz w:val="16"/>
              </w:rPr>
              <w:t>Gastos</w:t>
            </w:r>
            <w:r>
              <w:rPr>
                <w:spacing w:val="-6"/>
                <w:sz w:val="16"/>
              </w:rPr>
              <w:t> </w:t>
            </w:r>
            <w:r>
              <w:rPr>
                <w:spacing w:val="-2"/>
                <w:sz w:val="16"/>
              </w:rPr>
              <w:t>financieros</w:t>
            </w:r>
          </w:p>
        </w:tc>
        <w:tc>
          <w:tcPr>
            <w:tcW w:w="214" w:type="dxa"/>
          </w:tcPr>
          <w:p>
            <w:pPr>
              <w:pStyle w:val="TableParagraph"/>
              <w:rPr>
                <w:sz w:val="14"/>
              </w:rPr>
            </w:pPr>
          </w:p>
        </w:tc>
        <w:tc>
          <w:tcPr>
            <w:tcW w:w="1341" w:type="dxa"/>
            <w:tcBorders>
              <w:bottom w:val="single" w:sz="8" w:space="0" w:color="000000"/>
            </w:tcBorders>
          </w:tcPr>
          <w:p>
            <w:pPr>
              <w:pStyle w:val="TableParagraph"/>
              <w:spacing w:before="18"/>
              <w:ind w:right="69"/>
              <w:jc w:val="right"/>
              <w:rPr>
                <w:sz w:val="16"/>
              </w:rPr>
            </w:pPr>
            <w:r>
              <w:rPr>
                <w:spacing w:val="-2"/>
                <w:sz w:val="16"/>
              </w:rPr>
              <w:t>907.672,00</w:t>
            </w:r>
          </w:p>
        </w:tc>
        <w:tc>
          <w:tcPr>
            <w:tcW w:w="161" w:type="dxa"/>
          </w:tcPr>
          <w:p>
            <w:pPr>
              <w:pStyle w:val="TableParagraph"/>
              <w:rPr>
                <w:sz w:val="14"/>
              </w:rPr>
            </w:pPr>
          </w:p>
        </w:tc>
        <w:tc>
          <w:tcPr>
            <w:tcW w:w="1231" w:type="dxa"/>
            <w:tcBorders>
              <w:bottom w:val="single" w:sz="8" w:space="0" w:color="000000"/>
            </w:tcBorders>
          </w:tcPr>
          <w:p>
            <w:pPr>
              <w:pStyle w:val="TableParagraph"/>
              <w:spacing w:before="18"/>
              <w:ind w:right="70"/>
              <w:jc w:val="right"/>
              <w:rPr>
                <w:sz w:val="16"/>
              </w:rPr>
            </w:pPr>
            <w:r>
              <w:rPr>
                <w:spacing w:val="-10"/>
                <w:sz w:val="16"/>
              </w:rPr>
              <w:t>-</w:t>
            </w:r>
          </w:p>
        </w:tc>
        <w:tc>
          <w:tcPr>
            <w:tcW w:w="153" w:type="dxa"/>
          </w:tcPr>
          <w:p>
            <w:pPr>
              <w:pStyle w:val="TableParagraph"/>
              <w:rPr>
                <w:sz w:val="14"/>
              </w:rPr>
            </w:pPr>
          </w:p>
        </w:tc>
        <w:tc>
          <w:tcPr>
            <w:tcW w:w="1237" w:type="dxa"/>
            <w:tcBorders>
              <w:bottom w:val="single" w:sz="8" w:space="0" w:color="000000"/>
            </w:tcBorders>
          </w:tcPr>
          <w:p>
            <w:pPr>
              <w:pStyle w:val="TableParagraph"/>
              <w:spacing w:before="18"/>
              <w:ind w:right="72"/>
              <w:jc w:val="right"/>
              <w:rPr>
                <w:sz w:val="16"/>
              </w:rPr>
            </w:pPr>
            <w:r>
              <w:rPr>
                <w:spacing w:val="-2"/>
                <w:sz w:val="16"/>
              </w:rPr>
              <w:t>907.672,00</w:t>
            </w:r>
          </w:p>
        </w:tc>
      </w:tr>
      <w:tr>
        <w:trPr>
          <w:trHeight w:val="227" w:hRule="atLeast"/>
        </w:trPr>
        <w:tc>
          <w:tcPr>
            <w:tcW w:w="3244" w:type="dxa"/>
          </w:tcPr>
          <w:p>
            <w:pPr>
              <w:pStyle w:val="TableParagraph"/>
              <w:spacing w:before="20"/>
              <w:ind w:right="1"/>
              <w:jc w:val="center"/>
              <w:rPr>
                <w:b/>
                <w:sz w:val="16"/>
              </w:rPr>
            </w:pPr>
            <w:r>
              <w:rPr>
                <w:b/>
                <w:spacing w:val="-2"/>
                <w:sz w:val="16"/>
              </w:rPr>
              <w:t>Total</w:t>
            </w:r>
          </w:p>
        </w:tc>
        <w:tc>
          <w:tcPr>
            <w:tcW w:w="214" w:type="dxa"/>
          </w:tcPr>
          <w:p>
            <w:pPr>
              <w:pStyle w:val="TableParagraph"/>
              <w:rPr>
                <w:sz w:val="16"/>
              </w:rPr>
            </w:pPr>
          </w:p>
        </w:tc>
        <w:tc>
          <w:tcPr>
            <w:tcW w:w="1341" w:type="dxa"/>
            <w:tcBorders>
              <w:top w:val="single" w:sz="8" w:space="0" w:color="000000"/>
              <w:bottom w:val="double" w:sz="6" w:space="0" w:color="000000"/>
            </w:tcBorders>
          </w:tcPr>
          <w:p>
            <w:pPr>
              <w:pStyle w:val="TableParagraph"/>
              <w:spacing w:before="20"/>
              <w:ind w:right="69"/>
              <w:jc w:val="right"/>
              <w:rPr>
                <w:b/>
                <w:sz w:val="16"/>
              </w:rPr>
            </w:pPr>
            <w:r>
              <w:rPr>
                <w:b/>
                <w:spacing w:val="-2"/>
                <w:sz w:val="16"/>
              </w:rPr>
              <w:t>245.441.302,19</w:t>
            </w:r>
          </w:p>
        </w:tc>
        <w:tc>
          <w:tcPr>
            <w:tcW w:w="161" w:type="dxa"/>
          </w:tcPr>
          <w:p>
            <w:pPr>
              <w:pStyle w:val="TableParagraph"/>
              <w:rPr>
                <w:sz w:val="16"/>
              </w:rPr>
            </w:pPr>
          </w:p>
        </w:tc>
        <w:tc>
          <w:tcPr>
            <w:tcW w:w="1231" w:type="dxa"/>
            <w:tcBorders>
              <w:top w:val="single" w:sz="8" w:space="0" w:color="000000"/>
              <w:bottom w:val="double" w:sz="6" w:space="0" w:color="000000"/>
            </w:tcBorders>
          </w:tcPr>
          <w:p>
            <w:pPr>
              <w:pStyle w:val="TableParagraph"/>
              <w:spacing w:before="20"/>
              <w:ind w:right="71"/>
              <w:jc w:val="right"/>
              <w:rPr>
                <w:b/>
                <w:sz w:val="16"/>
              </w:rPr>
            </w:pPr>
            <w:r>
              <w:rPr>
                <w:b/>
                <w:spacing w:val="-2"/>
                <w:sz w:val="16"/>
              </w:rPr>
              <w:t>32.025.086,30</w:t>
            </w:r>
          </w:p>
        </w:tc>
        <w:tc>
          <w:tcPr>
            <w:tcW w:w="153" w:type="dxa"/>
          </w:tcPr>
          <w:p>
            <w:pPr>
              <w:pStyle w:val="TableParagraph"/>
              <w:rPr>
                <w:sz w:val="16"/>
              </w:rPr>
            </w:pPr>
          </w:p>
        </w:tc>
        <w:tc>
          <w:tcPr>
            <w:tcW w:w="1237" w:type="dxa"/>
            <w:tcBorders>
              <w:top w:val="single" w:sz="8" w:space="0" w:color="000000"/>
              <w:bottom w:val="double" w:sz="6" w:space="0" w:color="000000"/>
            </w:tcBorders>
          </w:tcPr>
          <w:p>
            <w:pPr>
              <w:pStyle w:val="TableParagraph"/>
              <w:spacing w:before="20"/>
              <w:ind w:right="72"/>
              <w:jc w:val="right"/>
              <w:rPr>
                <w:b/>
                <w:sz w:val="16"/>
              </w:rPr>
            </w:pPr>
            <w:r>
              <w:rPr>
                <w:b/>
                <w:spacing w:val="-2"/>
                <w:sz w:val="16"/>
              </w:rPr>
              <w:t>277.466.388,49</w:t>
            </w:r>
          </w:p>
        </w:tc>
      </w:tr>
    </w:tbl>
    <w:p>
      <w:pPr>
        <w:pStyle w:val="BodyText"/>
        <w:spacing w:before="248"/>
        <w:ind w:left="995"/>
        <w:jc w:val="both"/>
      </w:pPr>
      <w:r>
        <w:rPr>
          <w:spacing w:val="-2"/>
        </w:rPr>
        <w:t>El</w:t>
      </w:r>
      <w:r>
        <w:rPr>
          <w:spacing w:val="-12"/>
        </w:rPr>
        <w:t> </w:t>
      </w:r>
      <w:r>
        <w:rPr>
          <w:spacing w:val="-2"/>
        </w:rPr>
        <w:t>detalle</w:t>
      </w:r>
      <w:r>
        <w:rPr>
          <w:spacing w:val="-12"/>
        </w:rPr>
        <w:t> </w:t>
      </w:r>
      <w:r>
        <w:rPr>
          <w:spacing w:val="-2"/>
        </w:rPr>
        <w:t>de</w:t>
      </w:r>
      <w:r>
        <w:rPr>
          <w:spacing w:val="-12"/>
        </w:rPr>
        <w:t> </w:t>
      </w:r>
      <w:r>
        <w:rPr>
          <w:spacing w:val="-2"/>
        </w:rPr>
        <w:t>los</w:t>
      </w:r>
      <w:r>
        <w:rPr>
          <w:spacing w:val="-11"/>
        </w:rPr>
        <w:t> </w:t>
      </w:r>
      <w:r>
        <w:rPr>
          <w:spacing w:val="-2"/>
        </w:rPr>
        <w:t>movimientos</w:t>
      </w:r>
      <w:r>
        <w:rPr>
          <w:spacing w:val="-12"/>
        </w:rPr>
        <w:t> </w:t>
      </w:r>
      <w:r>
        <w:rPr>
          <w:spacing w:val="-2"/>
        </w:rPr>
        <w:t>para</w:t>
      </w:r>
      <w:r>
        <w:rPr>
          <w:spacing w:val="-12"/>
        </w:rPr>
        <w:t> </w:t>
      </w:r>
      <w:r>
        <w:rPr>
          <w:spacing w:val="-2"/>
        </w:rPr>
        <w:t>el</w:t>
      </w:r>
      <w:r>
        <w:rPr>
          <w:spacing w:val="-11"/>
        </w:rPr>
        <w:t> </w:t>
      </w:r>
      <w:r>
        <w:rPr>
          <w:spacing w:val="-2"/>
        </w:rPr>
        <w:t>ejercicio</w:t>
      </w:r>
      <w:r>
        <w:rPr>
          <w:spacing w:val="-11"/>
        </w:rPr>
        <w:t> </w:t>
      </w:r>
      <w:r>
        <w:rPr>
          <w:spacing w:val="-2"/>
        </w:rPr>
        <w:t>2024:</w:t>
      </w:r>
    </w:p>
    <w:p>
      <w:pPr>
        <w:pStyle w:val="BodyText"/>
        <w:spacing w:before="30"/>
        <w:rPr>
          <w:sz w:val="20"/>
        </w:rPr>
      </w:pPr>
    </w:p>
    <w:tbl>
      <w:tblPr>
        <w:tblW w:w="0" w:type="auto"/>
        <w:jc w:val="left"/>
        <w:tblInd w:w="1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62"/>
        <w:gridCol w:w="154"/>
        <w:gridCol w:w="1199"/>
        <w:gridCol w:w="389"/>
        <w:gridCol w:w="1205"/>
        <w:gridCol w:w="174"/>
        <w:gridCol w:w="1276"/>
      </w:tblGrid>
      <w:tr>
        <w:trPr>
          <w:trHeight w:val="360" w:hRule="atLeast"/>
        </w:trPr>
        <w:tc>
          <w:tcPr>
            <w:tcW w:w="3262" w:type="dxa"/>
            <w:tcBorders>
              <w:bottom w:val="single" w:sz="8" w:space="0" w:color="000000"/>
            </w:tcBorders>
          </w:tcPr>
          <w:p>
            <w:pPr>
              <w:pStyle w:val="TableParagraph"/>
              <w:spacing w:before="84"/>
              <w:ind w:right="1"/>
              <w:jc w:val="center"/>
              <w:rPr>
                <w:b/>
                <w:sz w:val="16"/>
              </w:rPr>
            </w:pPr>
            <w:r>
              <w:rPr>
                <w:b/>
                <w:spacing w:val="-2"/>
                <w:sz w:val="16"/>
              </w:rPr>
              <w:t>Concepto</w:t>
            </w:r>
          </w:p>
        </w:tc>
        <w:tc>
          <w:tcPr>
            <w:tcW w:w="154" w:type="dxa"/>
          </w:tcPr>
          <w:p>
            <w:pPr>
              <w:pStyle w:val="TableParagraph"/>
              <w:rPr>
                <w:sz w:val="18"/>
              </w:rPr>
            </w:pPr>
          </w:p>
        </w:tc>
        <w:tc>
          <w:tcPr>
            <w:tcW w:w="1199" w:type="dxa"/>
            <w:tcBorders>
              <w:bottom w:val="single" w:sz="8" w:space="0" w:color="000000"/>
            </w:tcBorders>
          </w:tcPr>
          <w:p>
            <w:pPr>
              <w:pStyle w:val="TableParagraph"/>
              <w:spacing w:before="84"/>
              <w:ind w:left="7"/>
              <w:jc w:val="center"/>
              <w:rPr>
                <w:b/>
                <w:sz w:val="16"/>
              </w:rPr>
            </w:pPr>
            <w:r>
              <w:rPr>
                <w:b/>
                <w:spacing w:val="-4"/>
                <w:sz w:val="16"/>
              </w:rPr>
              <w:t>2023</w:t>
            </w:r>
          </w:p>
        </w:tc>
        <w:tc>
          <w:tcPr>
            <w:tcW w:w="389" w:type="dxa"/>
          </w:tcPr>
          <w:p>
            <w:pPr>
              <w:pStyle w:val="TableParagraph"/>
              <w:rPr>
                <w:sz w:val="18"/>
              </w:rPr>
            </w:pPr>
          </w:p>
        </w:tc>
        <w:tc>
          <w:tcPr>
            <w:tcW w:w="1205" w:type="dxa"/>
          </w:tcPr>
          <w:p>
            <w:pPr>
              <w:pStyle w:val="TableParagraph"/>
              <w:spacing w:line="177" w:lineRule="exact"/>
              <w:ind w:left="2"/>
              <w:jc w:val="center"/>
              <w:rPr>
                <w:b/>
                <w:sz w:val="16"/>
              </w:rPr>
            </w:pPr>
            <w:r>
              <w:rPr>
                <w:b/>
                <w:spacing w:val="-2"/>
                <w:sz w:val="16"/>
              </w:rPr>
              <w:t>Adiciones/</w:t>
            </w:r>
          </w:p>
          <w:p>
            <w:pPr>
              <w:pStyle w:val="TableParagraph"/>
              <w:tabs>
                <w:tab w:pos="305" w:val="left" w:leader="none"/>
                <w:tab w:pos="1203" w:val="left" w:leader="none"/>
              </w:tabs>
              <w:spacing w:line="164" w:lineRule="exact"/>
              <w:ind w:left="5"/>
              <w:jc w:val="center"/>
              <w:rPr>
                <w:b/>
                <w:sz w:val="16"/>
              </w:rPr>
            </w:pPr>
            <w:r>
              <w:rPr>
                <w:b/>
                <w:sz w:val="16"/>
                <w:u w:val="single"/>
              </w:rPr>
              <w:tab/>
            </w:r>
            <w:r>
              <w:rPr>
                <w:b/>
                <w:spacing w:val="-2"/>
                <w:sz w:val="16"/>
                <w:u w:val="single"/>
              </w:rPr>
              <w:t>(Salidas)</w:t>
            </w:r>
            <w:r>
              <w:rPr>
                <w:b/>
                <w:sz w:val="16"/>
                <w:u w:val="single"/>
              </w:rPr>
              <w:tab/>
            </w:r>
          </w:p>
        </w:tc>
        <w:tc>
          <w:tcPr>
            <w:tcW w:w="174" w:type="dxa"/>
          </w:tcPr>
          <w:p>
            <w:pPr>
              <w:pStyle w:val="TableParagraph"/>
              <w:rPr>
                <w:sz w:val="18"/>
              </w:rPr>
            </w:pPr>
          </w:p>
        </w:tc>
        <w:tc>
          <w:tcPr>
            <w:tcW w:w="1276" w:type="dxa"/>
          </w:tcPr>
          <w:p>
            <w:pPr>
              <w:pStyle w:val="TableParagraph"/>
              <w:spacing w:line="138" w:lineRule="exact" w:before="84"/>
              <w:ind w:left="6" w:right="2"/>
              <w:jc w:val="center"/>
              <w:rPr>
                <w:b/>
                <w:sz w:val="16"/>
              </w:rPr>
            </w:pPr>
            <w:r>
              <w:rPr>
                <w:b/>
                <w:spacing w:val="-4"/>
                <w:sz w:val="16"/>
              </w:rPr>
              <w:t>2024</w:t>
            </w:r>
          </w:p>
          <w:p>
            <w:pPr>
              <w:pStyle w:val="TableParagraph"/>
              <w:tabs>
                <w:tab w:pos="1309" w:val="left" w:leader="none"/>
              </w:tabs>
              <w:spacing w:line="118" w:lineRule="exact"/>
              <w:ind w:left="6" w:right="-44"/>
              <w:jc w:val="center"/>
              <w:rPr>
                <w:b/>
                <w:sz w:val="16"/>
              </w:rPr>
            </w:pPr>
            <w:r>
              <w:rPr>
                <w:b/>
                <w:w w:val="99"/>
                <w:sz w:val="16"/>
                <w:u w:val="single"/>
              </w:rPr>
              <w:t> </w:t>
            </w:r>
            <w:r>
              <w:rPr>
                <w:b/>
                <w:sz w:val="16"/>
                <w:u w:val="single"/>
              </w:rPr>
              <w:tab/>
            </w:r>
          </w:p>
        </w:tc>
      </w:tr>
      <w:tr>
        <w:trPr>
          <w:trHeight w:val="230" w:hRule="atLeast"/>
        </w:trPr>
        <w:tc>
          <w:tcPr>
            <w:tcW w:w="3262" w:type="dxa"/>
            <w:tcBorders>
              <w:top w:val="single" w:sz="8" w:space="0" w:color="000000"/>
            </w:tcBorders>
          </w:tcPr>
          <w:p>
            <w:pPr>
              <w:pStyle w:val="TableParagraph"/>
              <w:spacing w:before="22"/>
              <w:ind w:left="69"/>
              <w:rPr>
                <w:sz w:val="16"/>
              </w:rPr>
            </w:pPr>
            <w:r>
              <w:rPr>
                <w:sz w:val="16"/>
              </w:rPr>
              <w:t>Actuaciones</w:t>
            </w:r>
            <w:r>
              <w:rPr>
                <w:spacing w:val="-7"/>
                <w:sz w:val="16"/>
              </w:rPr>
              <w:t> </w:t>
            </w:r>
            <w:r>
              <w:rPr>
                <w:sz w:val="16"/>
              </w:rPr>
              <w:t>de</w:t>
            </w:r>
            <w:r>
              <w:rPr>
                <w:spacing w:val="-6"/>
                <w:sz w:val="16"/>
              </w:rPr>
              <w:t> </w:t>
            </w:r>
            <w:r>
              <w:rPr>
                <w:spacing w:val="-2"/>
                <w:sz w:val="16"/>
              </w:rPr>
              <w:t>integración</w:t>
            </w:r>
          </w:p>
        </w:tc>
        <w:tc>
          <w:tcPr>
            <w:tcW w:w="154" w:type="dxa"/>
          </w:tcPr>
          <w:p>
            <w:pPr>
              <w:pStyle w:val="TableParagraph"/>
              <w:rPr>
                <w:sz w:val="16"/>
              </w:rPr>
            </w:pPr>
          </w:p>
        </w:tc>
        <w:tc>
          <w:tcPr>
            <w:tcW w:w="1199" w:type="dxa"/>
            <w:tcBorders>
              <w:top w:val="single" w:sz="8" w:space="0" w:color="000000"/>
            </w:tcBorders>
          </w:tcPr>
          <w:p>
            <w:pPr>
              <w:pStyle w:val="TableParagraph"/>
              <w:rPr>
                <w:sz w:val="16"/>
              </w:rPr>
            </w:pPr>
          </w:p>
        </w:tc>
        <w:tc>
          <w:tcPr>
            <w:tcW w:w="389" w:type="dxa"/>
          </w:tcPr>
          <w:p>
            <w:pPr>
              <w:pStyle w:val="TableParagraph"/>
              <w:rPr>
                <w:sz w:val="16"/>
              </w:rPr>
            </w:pPr>
          </w:p>
        </w:tc>
        <w:tc>
          <w:tcPr>
            <w:tcW w:w="1205" w:type="dxa"/>
          </w:tcPr>
          <w:p>
            <w:pPr>
              <w:pStyle w:val="TableParagraph"/>
              <w:rPr>
                <w:sz w:val="16"/>
              </w:rPr>
            </w:pPr>
          </w:p>
        </w:tc>
        <w:tc>
          <w:tcPr>
            <w:tcW w:w="174" w:type="dxa"/>
          </w:tcPr>
          <w:p>
            <w:pPr>
              <w:pStyle w:val="TableParagraph"/>
              <w:rPr>
                <w:sz w:val="16"/>
              </w:rPr>
            </w:pPr>
          </w:p>
        </w:tc>
        <w:tc>
          <w:tcPr>
            <w:tcW w:w="1276" w:type="dxa"/>
          </w:tcPr>
          <w:p>
            <w:pPr>
              <w:pStyle w:val="TableParagraph"/>
              <w:rPr>
                <w:sz w:val="16"/>
              </w:rPr>
            </w:pPr>
          </w:p>
        </w:tc>
      </w:tr>
      <w:tr>
        <w:trPr>
          <w:trHeight w:val="226" w:hRule="atLeast"/>
        </w:trPr>
        <w:tc>
          <w:tcPr>
            <w:tcW w:w="3262" w:type="dxa"/>
          </w:tcPr>
          <w:p>
            <w:pPr>
              <w:pStyle w:val="TableParagraph"/>
              <w:spacing w:before="18"/>
              <w:ind w:left="390"/>
              <w:rPr>
                <w:sz w:val="16"/>
              </w:rPr>
            </w:pPr>
            <w:r>
              <w:rPr>
                <w:sz w:val="16"/>
              </w:rPr>
              <w:t>Proyectos</w:t>
            </w:r>
            <w:r>
              <w:rPr>
                <w:spacing w:val="-8"/>
                <w:sz w:val="16"/>
              </w:rPr>
              <w:t> </w:t>
            </w:r>
            <w:r>
              <w:rPr>
                <w:spacing w:val="-2"/>
                <w:sz w:val="16"/>
              </w:rPr>
              <w:t>ferroviarios</w:t>
            </w:r>
          </w:p>
        </w:tc>
        <w:tc>
          <w:tcPr>
            <w:tcW w:w="154" w:type="dxa"/>
          </w:tcPr>
          <w:p>
            <w:pPr>
              <w:pStyle w:val="TableParagraph"/>
              <w:rPr>
                <w:sz w:val="16"/>
              </w:rPr>
            </w:pPr>
          </w:p>
        </w:tc>
        <w:tc>
          <w:tcPr>
            <w:tcW w:w="1199" w:type="dxa"/>
          </w:tcPr>
          <w:p>
            <w:pPr>
              <w:pStyle w:val="TableParagraph"/>
              <w:spacing w:before="18"/>
              <w:ind w:right="68"/>
              <w:jc w:val="right"/>
              <w:rPr>
                <w:sz w:val="16"/>
              </w:rPr>
            </w:pPr>
            <w:r>
              <w:rPr>
                <w:spacing w:val="-2"/>
                <w:sz w:val="16"/>
              </w:rPr>
              <w:t>4.959.549,86</w:t>
            </w:r>
          </w:p>
        </w:tc>
        <w:tc>
          <w:tcPr>
            <w:tcW w:w="389" w:type="dxa"/>
          </w:tcPr>
          <w:p>
            <w:pPr>
              <w:pStyle w:val="TableParagraph"/>
              <w:rPr>
                <w:sz w:val="16"/>
              </w:rPr>
            </w:pPr>
          </w:p>
        </w:tc>
        <w:tc>
          <w:tcPr>
            <w:tcW w:w="1205" w:type="dxa"/>
          </w:tcPr>
          <w:p>
            <w:pPr>
              <w:pStyle w:val="TableParagraph"/>
              <w:spacing w:before="18"/>
              <w:ind w:right="69"/>
              <w:jc w:val="right"/>
              <w:rPr>
                <w:sz w:val="16"/>
              </w:rPr>
            </w:pPr>
            <w:r>
              <w:rPr>
                <w:spacing w:val="-10"/>
                <w:sz w:val="16"/>
              </w:rPr>
              <w:t>-</w:t>
            </w:r>
          </w:p>
        </w:tc>
        <w:tc>
          <w:tcPr>
            <w:tcW w:w="174" w:type="dxa"/>
          </w:tcPr>
          <w:p>
            <w:pPr>
              <w:pStyle w:val="TableParagraph"/>
              <w:rPr>
                <w:sz w:val="16"/>
              </w:rPr>
            </w:pPr>
          </w:p>
        </w:tc>
        <w:tc>
          <w:tcPr>
            <w:tcW w:w="1276" w:type="dxa"/>
          </w:tcPr>
          <w:p>
            <w:pPr>
              <w:pStyle w:val="TableParagraph"/>
              <w:spacing w:before="18"/>
              <w:ind w:right="69"/>
              <w:jc w:val="right"/>
              <w:rPr>
                <w:sz w:val="16"/>
              </w:rPr>
            </w:pPr>
            <w:r>
              <w:rPr>
                <w:spacing w:val="-2"/>
                <w:sz w:val="16"/>
              </w:rPr>
              <w:t>4.959.549,86</w:t>
            </w:r>
          </w:p>
        </w:tc>
      </w:tr>
      <w:tr>
        <w:trPr>
          <w:trHeight w:val="226" w:hRule="atLeast"/>
        </w:trPr>
        <w:tc>
          <w:tcPr>
            <w:tcW w:w="3262" w:type="dxa"/>
          </w:tcPr>
          <w:p>
            <w:pPr>
              <w:pStyle w:val="TableParagraph"/>
              <w:spacing w:before="18"/>
              <w:ind w:left="390"/>
              <w:rPr>
                <w:sz w:val="16"/>
              </w:rPr>
            </w:pPr>
            <w:r>
              <w:rPr>
                <w:sz w:val="16"/>
              </w:rPr>
              <w:t>Obra</w:t>
            </w:r>
            <w:r>
              <w:rPr>
                <w:spacing w:val="-5"/>
                <w:sz w:val="16"/>
              </w:rPr>
              <w:t> </w:t>
            </w:r>
            <w:r>
              <w:rPr>
                <w:sz w:val="16"/>
              </w:rPr>
              <w:t>Fases</w:t>
            </w:r>
            <w:r>
              <w:rPr>
                <w:spacing w:val="-3"/>
                <w:sz w:val="16"/>
              </w:rPr>
              <w:t> </w:t>
            </w:r>
            <w:r>
              <w:rPr>
                <w:sz w:val="16"/>
              </w:rPr>
              <w:t>1</w:t>
            </w:r>
            <w:r>
              <w:rPr>
                <w:spacing w:val="-4"/>
                <w:sz w:val="16"/>
              </w:rPr>
              <w:t> </w:t>
            </w:r>
            <w:r>
              <w:rPr>
                <w:sz w:val="16"/>
              </w:rPr>
              <w:t>y</w:t>
            </w:r>
            <w:r>
              <w:rPr>
                <w:spacing w:val="-3"/>
                <w:sz w:val="16"/>
              </w:rPr>
              <w:t> </w:t>
            </w:r>
            <w:r>
              <w:rPr>
                <w:spacing w:val="-10"/>
                <w:sz w:val="16"/>
              </w:rPr>
              <w:t>2</w:t>
            </w:r>
          </w:p>
        </w:tc>
        <w:tc>
          <w:tcPr>
            <w:tcW w:w="154" w:type="dxa"/>
          </w:tcPr>
          <w:p>
            <w:pPr>
              <w:pStyle w:val="TableParagraph"/>
              <w:rPr>
                <w:sz w:val="16"/>
              </w:rPr>
            </w:pPr>
          </w:p>
        </w:tc>
        <w:tc>
          <w:tcPr>
            <w:tcW w:w="1199" w:type="dxa"/>
          </w:tcPr>
          <w:p>
            <w:pPr>
              <w:pStyle w:val="TableParagraph"/>
              <w:spacing w:before="18"/>
              <w:ind w:right="68"/>
              <w:jc w:val="right"/>
              <w:rPr>
                <w:sz w:val="16"/>
              </w:rPr>
            </w:pPr>
            <w:r>
              <w:rPr>
                <w:spacing w:val="-2"/>
                <w:sz w:val="16"/>
              </w:rPr>
              <w:t>199.044.231,58</w:t>
            </w:r>
          </w:p>
        </w:tc>
        <w:tc>
          <w:tcPr>
            <w:tcW w:w="389" w:type="dxa"/>
          </w:tcPr>
          <w:p>
            <w:pPr>
              <w:pStyle w:val="TableParagraph"/>
              <w:rPr>
                <w:sz w:val="16"/>
              </w:rPr>
            </w:pPr>
          </w:p>
        </w:tc>
        <w:tc>
          <w:tcPr>
            <w:tcW w:w="1205" w:type="dxa"/>
          </w:tcPr>
          <w:p>
            <w:pPr>
              <w:pStyle w:val="TableParagraph"/>
              <w:spacing w:before="18"/>
              <w:ind w:right="70"/>
              <w:jc w:val="right"/>
              <w:rPr>
                <w:sz w:val="16"/>
              </w:rPr>
            </w:pPr>
            <w:r>
              <w:rPr>
                <w:spacing w:val="-2"/>
                <w:sz w:val="16"/>
              </w:rPr>
              <w:t>37.085.028,00</w:t>
            </w:r>
          </w:p>
        </w:tc>
        <w:tc>
          <w:tcPr>
            <w:tcW w:w="174" w:type="dxa"/>
          </w:tcPr>
          <w:p>
            <w:pPr>
              <w:pStyle w:val="TableParagraph"/>
              <w:rPr>
                <w:sz w:val="16"/>
              </w:rPr>
            </w:pPr>
          </w:p>
        </w:tc>
        <w:tc>
          <w:tcPr>
            <w:tcW w:w="1276" w:type="dxa"/>
          </w:tcPr>
          <w:p>
            <w:pPr>
              <w:pStyle w:val="TableParagraph"/>
              <w:spacing w:before="18"/>
              <w:ind w:right="69"/>
              <w:jc w:val="right"/>
              <w:rPr>
                <w:sz w:val="16"/>
              </w:rPr>
            </w:pPr>
            <w:r>
              <w:rPr>
                <w:spacing w:val="-2"/>
                <w:sz w:val="16"/>
              </w:rPr>
              <w:t>236.129.259,58</w:t>
            </w:r>
          </w:p>
        </w:tc>
      </w:tr>
      <w:tr>
        <w:trPr>
          <w:trHeight w:val="227" w:hRule="atLeast"/>
        </w:trPr>
        <w:tc>
          <w:tcPr>
            <w:tcW w:w="3262" w:type="dxa"/>
          </w:tcPr>
          <w:p>
            <w:pPr>
              <w:pStyle w:val="TableParagraph"/>
              <w:spacing w:before="18"/>
              <w:ind w:left="390"/>
              <w:rPr>
                <w:sz w:val="16"/>
              </w:rPr>
            </w:pPr>
            <w:r>
              <w:rPr>
                <w:sz w:val="16"/>
              </w:rPr>
              <w:t>Intermodalidad</w:t>
            </w:r>
            <w:r>
              <w:rPr>
                <w:spacing w:val="-5"/>
                <w:sz w:val="16"/>
              </w:rPr>
              <w:t> </w:t>
            </w:r>
            <w:r>
              <w:rPr>
                <w:sz w:val="16"/>
              </w:rPr>
              <w:t>-</w:t>
            </w:r>
            <w:r>
              <w:rPr>
                <w:spacing w:val="-5"/>
                <w:sz w:val="16"/>
              </w:rPr>
              <w:t> </w:t>
            </w:r>
            <w:r>
              <w:rPr>
                <w:sz w:val="16"/>
              </w:rPr>
              <w:t>Estación</w:t>
            </w:r>
            <w:r>
              <w:rPr>
                <w:spacing w:val="-4"/>
                <w:sz w:val="16"/>
              </w:rPr>
              <w:t> </w:t>
            </w:r>
            <w:r>
              <w:rPr>
                <w:sz w:val="16"/>
              </w:rPr>
              <w:t>de</w:t>
            </w:r>
            <w:r>
              <w:rPr>
                <w:spacing w:val="-6"/>
                <w:sz w:val="16"/>
              </w:rPr>
              <w:t> </w:t>
            </w:r>
            <w:r>
              <w:rPr>
                <w:spacing w:val="-2"/>
                <w:sz w:val="16"/>
              </w:rPr>
              <w:t>autobuses</w:t>
            </w:r>
          </w:p>
        </w:tc>
        <w:tc>
          <w:tcPr>
            <w:tcW w:w="154" w:type="dxa"/>
          </w:tcPr>
          <w:p>
            <w:pPr>
              <w:pStyle w:val="TableParagraph"/>
              <w:rPr>
                <w:sz w:val="16"/>
              </w:rPr>
            </w:pPr>
          </w:p>
        </w:tc>
        <w:tc>
          <w:tcPr>
            <w:tcW w:w="1199" w:type="dxa"/>
          </w:tcPr>
          <w:p>
            <w:pPr>
              <w:pStyle w:val="TableParagraph"/>
              <w:spacing w:before="18"/>
              <w:ind w:right="68"/>
              <w:jc w:val="right"/>
              <w:rPr>
                <w:sz w:val="16"/>
              </w:rPr>
            </w:pPr>
            <w:r>
              <w:rPr>
                <w:spacing w:val="-2"/>
                <w:sz w:val="16"/>
              </w:rPr>
              <w:t>3.780,00</w:t>
            </w:r>
          </w:p>
        </w:tc>
        <w:tc>
          <w:tcPr>
            <w:tcW w:w="389" w:type="dxa"/>
          </w:tcPr>
          <w:p>
            <w:pPr>
              <w:pStyle w:val="TableParagraph"/>
              <w:rPr>
                <w:sz w:val="16"/>
              </w:rPr>
            </w:pPr>
          </w:p>
        </w:tc>
        <w:tc>
          <w:tcPr>
            <w:tcW w:w="1205" w:type="dxa"/>
          </w:tcPr>
          <w:p>
            <w:pPr>
              <w:pStyle w:val="TableParagraph"/>
              <w:spacing w:before="18"/>
              <w:ind w:right="69"/>
              <w:jc w:val="right"/>
              <w:rPr>
                <w:sz w:val="16"/>
              </w:rPr>
            </w:pPr>
            <w:r>
              <w:rPr>
                <w:spacing w:val="-2"/>
                <w:sz w:val="16"/>
              </w:rPr>
              <w:t>82.130,00</w:t>
            </w:r>
          </w:p>
        </w:tc>
        <w:tc>
          <w:tcPr>
            <w:tcW w:w="174" w:type="dxa"/>
          </w:tcPr>
          <w:p>
            <w:pPr>
              <w:pStyle w:val="TableParagraph"/>
              <w:rPr>
                <w:sz w:val="16"/>
              </w:rPr>
            </w:pPr>
          </w:p>
        </w:tc>
        <w:tc>
          <w:tcPr>
            <w:tcW w:w="1276" w:type="dxa"/>
          </w:tcPr>
          <w:p>
            <w:pPr>
              <w:pStyle w:val="TableParagraph"/>
              <w:spacing w:before="18"/>
              <w:ind w:right="69"/>
              <w:jc w:val="right"/>
              <w:rPr>
                <w:sz w:val="16"/>
              </w:rPr>
            </w:pPr>
            <w:r>
              <w:rPr>
                <w:spacing w:val="-2"/>
                <w:sz w:val="16"/>
              </w:rPr>
              <w:t>85.910,00</w:t>
            </w:r>
          </w:p>
        </w:tc>
      </w:tr>
      <w:tr>
        <w:trPr>
          <w:trHeight w:val="227" w:hRule="atLeast"/>
        </w:trPr>
        <w:tc>
          <w:tcPr>
            <w:tcW w:w="3262" w:type="dxa"/>
          </w:tcPr>
          <w:p>
            <w:pPr>
              <w:pStyle w:val="TableParagraph"/>
              <w:spacing w:before="18"/>
              <w:ind w:left="390"/>
              <w:rPr>
                <w:sz w:val="16"/>
              </w:rPr>
            </w:pPr>
            <w:r>
              <w:rPr>
                <w:sz w:val="16"/>
              </w:rPr>
              <w:t>Aparcamiento</w:t>
            </w:r>
            <w:r>
              <w:rPr>
                <w:spacing w:val="-8"/>
                <w:sz w:val="16"/>
              </w:rPr>
              <w:t> </w:t>
            </w:r>
            <w:r>
              <w:rPr>
                <w:sz w:val="16"/>
              </w:rPr>
              <w:t>estación</w:t>
            </w:r>
            <w:r>
              <w:rPr>
                <w:spacing w:val="-8"/>
                <w:sz w:val="16"/>
              </w:rPr>
              <w:t> </w:t>
            </w:r>
            <w:r>
              <w:rPr>
                <w:spacing w:val="-2"/>
                <w:sz w:val="16"/>
              </w:rPr>
              <w:t>intermodal</w:t>
            </w:r>
          </w:p>
        </w:tc>
        <w:tc>
          <w:tcPr>
            <w:tcW w:w="154" w:type="dxa"/>
          </w:tcPr>
          <w:p>
            <w:pPr>
              <w:pStyle w:val="TableParagraph"/>
              <w:rPr>
                <w:sz w:val="16"/>
              </w:rPr>
            </w:pPr>
          </w:p>
        </w:tc>
        <w:tc>
          <w:tcPr>
            <w:tcW w:w="1199" w:type="dxa"/>
          </w:tcPr>
          <w:p>
            <w:pPr>
              <w:pStyle w:val="TableParagraph"/>
              <w:spacing w:before="18"/>
              <w:ind w:right="68"/>
              <w:jc w:val="right"/>
              <w:rPr>
                <w:sz w:val="16"/>
              </w:rPr>
            </w:pPr>
            <w:r>
              <w:rPr>
                <w:spacing w:val="-2"/>
                <w:sz w:val="16"/>
              </w:rPr>
              <w:t>10.500,00</w:t>
            </w:r>
          </w:p>
        </w:tc>
        <w:tc>
          <w:tcPr>
            <w:tcW w:w="389" w:type="dxa"/>
          </w:tcPr>
          <w:p>
            <w:pPr>
              <w:pStyle w:val="TableParagraph"/>
              <w:rPr>
                <w:sz w:val="16"/>
              </w:rPr>
            </w:pPr>
          </w:p>
        </w:tc>
        <w:tc>
          <w:tcPr>
            <w:tcW w:w="1205" w:type="dxa"/>
          </w:tcPr>
          <w:p>
            <w:pPr>
              <w:pStyle w:val="TableParagraph"/>
              <w:rPr>
                <w:sz w:val="16"/>
              </w:rPr>
            </w:pPr>
          </w:p>
        </w:tc>
        <w:tc>
          <w:tcPr>
            <w:tcW w:w="174" w:type="dxa"/>
          </w:tcPr>
          <w:p>
            <w:pPr>
              <w:pStyle w:val="TableParagraph"/>
              <w:rPr>
                <w:sz w:val="16"/>
              </w:rPr>
            </w:pPr>
          </w:p>
        </w:tc>
        <w:tc>
          <w:tcPr>
            <w:tcW w:w="1276" w:type="dxa"/>
          </w:tcPr>
          <w:p>
            <w:pPr>
              <w:pStyle w:val="TableParagraph"/>
              <w:spacing w:before="18"/>
              <w:ind w:right="69"/>
              <w:jc w:val="right"/>
              <w:rPr>
                <w:sz w:val="16"/>
              </w:rPr>
            </w:pPr>
            <w:r>
              <w:rPr>
                <w:spacing w:val="-2"/>
                <w:sz w:val="16"/>
              </w:rPr>
              <w:t>10.500,00</w:t>
            </w:r>
          </w:p>
        </w:tc>
      </w:tr>
      <w:tr>
        <w:trPr>
          <w:trHeight w:val="226" w:hRule="atLeast"/>
        </w:trPr>
        <w:tc>
          <w:tcPr>
            <w:tcW w:w="3262" w:type="dxa"/>
          </w:tcPr>
          <w:p>
            <w:pPr>
              <w:pStyle w:val="TableParagraph"/>
              <w:spacing w:before="18"/>
              <w:ind w:left="69"/>
              <w:rPr>
                <w:sz w:val="16"/>
              </w:rPr>
            </w:pPr>
            <w:r>
              <w:rPr>
                <w:sz w:val="16"/>
              </w:rPr>
              <w:t>Actuaciones</w:t>
            </w:r>
            <w:r>
              <w:rPr>
                <w:spacing w:val="-9"/>
                <w:sz w:val="16"/>
              </w:rPr>
              <w:t> </w:t>
            </w:r>
            <w:r>
              <w:rPr>
                <w:sz w:val="16"/>
              </w:rPr>
              <w:t>urbanísticas</w:t>
            </w:r>
            <w:r>
              <w:rPr>
                <w:spacing w:val="-7"/>
                <w:sz w:val="16"/>
              </w:rPr>
              <w:t> </w:t>
            </w:r>
            <w:r>
              <w:rPr>
                <w:sz w:val="16"/>
              </w:rPr>
              <w:t>-</w:t>
            </w:r>
            <w:r>
              <w:rPr>
                <w:spacing w:val="-9"/>
                <w:sz w:val="16"/>
              </w:rPr>
              <w:t> </w:t>
            </w:r>
            <w:r>
              <w:rPr>
                <w:spacing w:val="-2"/>
                <w:sz w:val="16"/>
              </w:rPr>
              <w:t>Proyectos</w:t>
            </w:r>
          </w:p>
        </w:tc>
        <w:tc>
          <w:tcPr>
            <w:tcW w:w="154" w:type="dxa"/>
          </w:tcPr>
          <w:p>
            <w:pPr>
              <w:pStyle w:val="TableParagraph"/>
              <w:rPr>
                <w:sz w:val="16"/>
              </w:rPr>
            </w:pPr>
          </w:p>
        </w:tc>
        <w:tc>
          <w:tcPr>
            <w:tcW w:w="1199" w:type="dxa"/>
          </w:tcPr>
          <w:p>
            <w:pPr>
              <w:pStyle w:val="TableParagraph"/>
              <w:spacing w:before="18"/>
              <w:ind w:right="68"/>
              <w:jc w:val="right"/>
              <w:rPr>
                <w:sz w:val="16"/>
              </w:rPr>
            </w:pPr>
            <w:r>
              <w:rPr>
                <w:spacing w:val="-2"/>
                <w:sz w:val="16"/>
              </w:rPr>
              <w:t>654.376,18</w:t>
            </w:r>
          </w:p>
        </w:tc>
        <w:tc>
          <w:tcPr>
            <w:tcW w:w="389" w:type="dxa"/>
          </w:tcPr>
          <w:p>
            <w:pPr>
              <w:pStyle w:val="TableParagraph"/>
              <w:rPr>
                <w:sz w:val="16"/>
              </w:rPr>
            </w:pPr>
          </w:p>
        </w:tc>
        <w:tc>
          <w:tcPr>
            <w:tcW w:w="1205" w:type="dxa"/>
          </w:tcPr>
          <w:p>
            <w:pPr>
              <w:pStyle w:val="TableParagraph"/>
              <w:spacing w:before="18"/>
              <w:ind w:right="69"/>
              <w:jc w:val="right"/>
              <w:rPr>
                <w:sz w:val="16"/>
              </w:rPr>
            </w:pPr>
            <w:r>
              <w:rPr>
                <w:spacing w:val="-2"/>
                <w:sz w:val="16"/>
              </w:rPr>
              <w:t>72.983,00</w:t>
            </w:r>
          </w:p>
        </w:tc>
        <w:tc>
          <w:tcPr>
            <w:tcW w:w="174" w:type="dxa"/>
          </w:tcPr>
          <w:p>
            <w:pPr>
              <w:pStyle w:val="TableParagraph"/>
              <w:rPr>
                <w:sz w:val="16"/>
              </w:rPr>
            </w:pPr>
          </w:p>
        </w:tc>
        <w:tc>
          <w:tcPr>
            <w:tcW w:w="1276" w:type="dxa"/>
          </w:tcPr>
          <w:p>
            <w:pPr>
              <w:pStyle w:val="TableParagraph"/>
              <w:spacing w:before="18"/>
              <w:ind w:right="69"/>
              <w:jc w:val="right"/>
              <w:rPr>
                <w:sz w:val="16"/>
              </w:rPr>
            </w:pPr>
            <w:r>
              <w:rPr>
                <w:spacing w:val="-2"/>
                <w:sz w:val="16"/>
              </w:rPr>
              <w:t>727.359,18</w:t>
            </w:r>
          </w:p>
        </w:tc>
      </w:tr>
      <w:tr>
        <w:trPr>
          <w:trHeight w:val="226" w:hRule="atLeast"/>
        </w:trPr>
        <w:tc>
          <w:tcPr>
            <w:tcW w:w="3262" w:type="dxa"/>
          </w:tcPr>
          <w:p>
            <w:pPr>
              <w:pStyle w:val="TableParagraph"/>
              <w:spacing w:before="18"/>
              <w:ind w:left="69"/>
              <w:rPr>
                <w:sz w:val="16"/>
              </w:rPr>
            </w:pPr>
            <w:r>
              <w:rPr>
                <w:sz w:val="16"/>
              </w:rPr>
              <w:t>Otros</w:t>
            </w:r>
            <w:r>
              <w:rPr>
                <w:spacing w:val="-7"/>
                <w:sz w:val="16"/>
              </w:rPr>
              <w:t> </w:t>
            </w:r>
            <w:r>
              <w:rPr>
                <w:sz w:val="16"/>
              </w:rPr>
              <w:t>gastos</w:t>
            </w:r>
            <w:r>
              <w:rPr>
                <w:spacing w:val="-8"/>
                <w:sz w:val="16"/>
              </w:rPr>
              <w:t> </w:t>
            </w:r>
            <w:r>
              <w:rPr>
                <w:spacing w:val="-2"/>
                <w:sz w:val="16"/>
              </w:rPr>
              <w:t>operativos</w:t>
            </w:r>
          </w:p>
        </w:tc>
        <w:tc>
          <w:tcPr>
            <w:tcW w:w="154" w:type="dxa"/>
          </w:tcPr>
          <w:p>
            <w:pPr>
              <w:pStyle w:val="TableParagraph"/>
              <w:rPr>
                <w:sz w:val="16"/>
              </w:rPr>
            </w:pPr>
          </w:p>
        </w:tc>
        <w:tc>
          <w:tcPr>
            <w:tcW w:w="1199" w:type="dxa"/>
          </w:tcPr>
          <w:p>
            <w:pPr>
              <w:pStyle w:val="TableParagraph"/>
              <w:spacing w:before="18"/>
              <w:ind w:right="68"/>
              <w:jc w:val="right"/>
              <w:rPr>
                <w:sz w:val="16"/>
              </w:rPr>
            </w:pPr>
            <w:r>
              <w:rPr>
                <w:spacing w:val="-2"/>
                <w:sz w:val="16"/>
              </w:rPr>
              <w:t>2.449.278,01</w:t>
            </w:r>
          </w:p>
        </w:tc>
        <w:tc>
          <w:tcPr>
            <w:tcW w:w="389" w:type="dxa"/>
          </w:tcPr>
          <w:p>
            <w:pPr>
              <w:pStyle w:val="TableParagraph"/>
              <w:rPr>
                <w:sz w:val="16"/>
              </w:rPr>
            </w:pPr>
          </w:p>
        </w:tc>
        <w:tc>
          <w:tcPr>
            <w:tcW w:w="1205" w:type="dxa"/>
          </w:tcPr>
          <w:p>
            <w:pPr>
              <w:pStyle w:val="TableParagraph"/>
              <w:spacing w:before="18"/>
              <w:ind w:right="69"/>
              <w:jc w:val="right"/>
              <w:rPr>
                <w:sz w:val="16"/>
              </w:rPr>
            </w:pPr>
            <w:r>
              <w:rPr>
                <w:spacing w:val="-2"/>
                <w:sz w:val="16"/>
              </w:rPr>
              <w:t>171.773,56</w:t>
            </w:r>
          </w:p>
        </w:tc>
        <w:tc>
          <w:tcPr>
            <w:tcW w:w="174" w:type="dxa"/>
          </w:tcPr>
          <w:p>
            <w:pPr>
              <w:pStyle w:val="TableParagraph"/>
              <w:rPr>
                <w:sz w:val="16"/>
              </w:rPr>
            </w:pPr>
          </w:p>
        </w:tc>
        <w:tc>
          <w:tcPr>
            <w:tcW w:w="1276" w:type="dxa"/>
          </w:tcPr>
          <w:p>
            <w:pPr>
              <w:pStyle w:val="TableParagraph"/>
              <w:spacing w:before="18"/>
              <w:ind w:right="69"/>
              <w:jc w:val="right"/>
              <w:rPr>
                <w:sz w:val="16"/>
              </w:rPr>
            </w:pPr>
            <w:r>
              <w:rPr>
                <w:spacing w:val="-2"/>
                <w:sz w:val="16"/>
              </w:rPr>
              <w:t>2.621.051,57</w:t>
            </w:r>
          </w:p>
        </w:tc>
      </w:tr>
      <w:tr>
        <w:trPr>
          <w:trHeight w:val="223" w:hRule="atLeast"/>
        </w:trPr>
        <w:tc>
          <w:tcPr>
            <w:tcW w:w="3262" w:type="dxa"/>
          </w:tcPr>
          <w:p>
            <w:pPr>
              <w:pStyle w:val="TableParagraph"/>
              <w:spacing w:before="18"/>
              <w:ind w:left="69"/>
              <w:rPr>
                <w:sz w:val="16"/>
              </w:rPr>
            </w:pPr>
            <w:r>
              <w:rPr>
                <w:sz w:val="16"/>
              </w:rPr>
              <w:t>Gastos</w:t>
            </w:r>
            <w:r>
              <w:rPr>
                <w:spacing w:val="-6"/>
                <w:sz w:val="16"/>
              </w:rPr>
              <w:t> </w:t>
            </w:r>
            <w:r>
              <w:rPr>
                <w:spacing w:val="-2"/>
                <w:sz w:val="16"/>
              </w:rPr>
              <w:t>financieros</w:t>
            </w:r>
          </w:p>
        </w:tc>
        <w:tc>
          <w:tcPr>
            <w:tcW w:w="154" w:type="dxa"/>
          </w:tcPr>
          <w:p>
            <w:pPr>
              <w:pStyle w:val="TableParagraph"/>
              <w:rPr>
                <w:sz w:val="14"/>
              </w:rPr>
            </w:pPr>
          </w:p>
        </w:tc>
        <w:tc>
          <w:tcPr>
            <w:tcW w:w="1199" w:type="dxa"/>
            <w:tcBorders>
              <w:bottom w:val="single" w:sz="8" w:space="0" w:color="000000"/>
            </w:tcBorders>
          </w:tcPr>
          <w:p>
            <w:pPr>
              <w:pStyle w:val="TableParagraph"/>
              <w:spacing w:before="18"/>
              <w:ind w:right="68"/>
              <w:jc w:val="right"/>
              <w:rPr>
                <w:sz w:val="16"/>
              </w:rPr>
            </w:pPr>
            <w:r>
              <w:rPr>
                <w:spacing w:val="-2"/>
                <w:sz w:val="16"/>
              </w:rPr>
              <w:t>907.672,00</w:t>
            </w:r>
          </w:p>
        </w:tc>
        <w:tc>
          <w:tcPr>
            <w:tcW w:w="389" w:type="dxa"/>
          </w:tcPr>
          <w:p>
            <w:pPr>
              <w:pStyle w:val="TableParagraph"/>
              <w:rPr>
                <w:sz w:val="14"/>
              </w:rPr>
            </w:pPr>
          </w:p>
        </w:tc>
        <w:tc>
          <w:tcPr>
            <w:tcW w:w="1205" w:type="dxa"/>
            <w:tcBorders>
              <w:bottom w:val="single" w:sz="8" w:space="0" w:color="000000"/>
            </w:tcBorders>
          </w:tcPr>
          <w:p>
            <w:pPr>
              <w:pStyle w:val="TableParagraph"/>
              <w:spacing w:before="18"/>
              <w:ind w:right="69"/>
              <w:jc w:val="right"/>
              <w:rPr>
                <w:sz w:val="16"/>
              </w:rPr>
            </w:pPr>
            <w:r>
              <w:rPr>
                <w:spacing w:val="-10"/>
                <w:sz w:val="16"/>
              </w:rPr>
              <w:t>-</w:t>
            </w:r>
          </w:p>
        </w:tc>
        <w:tc>
          <w:tcPr>
            <w:tcW w:w="174" w:type="dxa"/>
          </w:tcPr>
          <w:p>
            <w:pPr>
              <w:pStyle w:val="TableParagraph"/>
              <w:rPr>
                <w:sz w:val="14"/>
              </w:rPr>
            </w:pPr>
          </w:p>
        </w:tc>
        <w:tc>
          <w:tcPr>
            <w:tcW w:w="1276" w:type="dxa"/>
            <w:tcBorders>
              <w:bottom w:val="single" w:sz="8" w:space="0" w:color="000000"/>
            </w:tcBorders>
          </w:tcPr>
          <w:p>
            <w:pPr>
              <w:pStyle w:val="TableParagraph"/>
              <w:spacing w:before="18"/>
              <w:ind w:right="69"/>
              <w:jc w:val="right"/>
              <w:rPr>
                <w:sz w:val="16"/>
              </w:rPr>
            </w:pPr>
            <w:r>
              <w:rPr>
                <w:spacing w:val="-2"/>
                <w:sz w:val="16"/>
              </w:rPr>
              <w:t>907.672,00</w:t>
            </w:r>
          </w:p>
        </w:tc>
      </w:tr>
      <w:tr>
        <w:trPr>
          <w:trHeight w:val="229" w:hRule="atLeast"/>
        </w:trPr>
        <w:tc>
          <w:tcPr>
            <w:tcW w:w="3262" w:type="dxa"/>
          </w:tcPr>
          <w:p>
            <w:pPr>
              <w:pStyle w:val="TableParagraph"/>
              <w:spacing w:before="22"/>
              <w:ind w:left="1" w:right="1"/>
              <w:jc w:val="center"/>
              <w:rPr>
                <w:b/>
                <w:sz w:val="16"/>
              </w:rPr>
            </w:pPr>
            <w:r>
              <w:rPr>
                <w:b/>
                <w:spacing w:val="-2"/>
                <w:sz w:val="16"/>
              </w:rPr>
              <w:t>Total</w:t>
            </w:r>
          </w:p>
        </w:tc>
        <w:tc>
          <w:tcPr>
            <w:tcW w:w="154" w:type="dxa"/>
          </w:tcPr>
          <w:p>
            <w:pPr>
              <w:pStyle w:val="TableParagraph"/>
              <w:rPr>
                <w:sz w:val="16"/>
              </w:rPr>
            </w:pPr>
          </w:p>
        </w:tc>
        <w:tc>
          <w:tcPr>
            <w:tcW w:w="1199" w:type="dxa"/>
            <w:tcBorders>
              <w:top w:val="single" w:sz="8" w:space="0" w:color="000000"/>
              <w:bottom w:val="double" w:sz="6" w:space="0" w:color="000000"/>
            </w:tcBorders>
          </w:tcPr>
          <w:p>
            <w:pPr>
              <w:pStyle w:val="TableParagraph"/>
              <w:spacing w:before="22"/>
              <w:ind w:right="68"/>
              <w:jc w:val="right"/>
              <w:rPr>
                <w:b/>
                <w:sz w:val="16"/>
              </w:rPr>
            </w:pPr>
            <w:r>
              <w:rPr>
                <w:b/>
                <w:spacing w:val="-2"/>
                <w:sz w:val="16"/>
              </w:rPr>
              <w:t>208.029.387,63</w:t>
            </w:r>
          </w:p>
        </w:tc>
        <w:tc>
          <w:tcPr>
            <w:tcW w:w="389" w:type="dxa"/>
          </w:tcPr>
          <w:p>
            <w:pPr>
              <w:pStyle w:val="TableParagraph"/>
              <w:rPr>
                <w:sz w:val="16"/>
              </w:rPr>
            </w:pPr>
          </w:p>
        </w:tc>
        <w:tc>
          <w:tcPr>
            <w:tcW w:w="1205" w:type="dxa"/>
            <w:tcBorders>
              <w:top w:val="single" w:sz="8" w:space="0" w:color="000000"/>
              <w:bottom w:val="double" w:sz="6" w:space="0" w:color="000000"/>
            </w:tcBorders>
          </w:tcPr>
          <w:p>
            <w:pPr>
              <w:pStyle w:val="TableParagraph"/>
              <w:spacing w:before="22"/>
              <w:ind w:right="70"/>
              <w:jc w:val="right"/>
              <w:rPr>
                <w:b/>
                <w:sz w:val="16"/>
              </w:rPr>
            </w:pPr>
            <w:r>
              <w:rPr>
                <w:b/>
                <w:spacing w:val="-2"/>
                <w:sz w:val="16"/>
              </w:rPr>
              <w:t>37.411.914,56</w:t>
            </w:r>
          </w:p>
        </w:tc>
        <w:tc>
          <w:tcPr>
            <w:tcW w:w="174" w:type="dxa"/>
          </w:tcPr>
          <w:p>
            <w:pPr>
              <w:pStyle w:val="TableParagraph"/>
              <w:rPr>
                <w:sz w:val="16"/>
              </w:rPr>
            </w:pPr>
          </w:p>
        </w:tc>
        <w:tc>
          <w:tcPr>
            <w:tcW w:w="1276" w:type="dxa"/>
            <w:tcBorders>
              <w:top w:val="single" w:sz="8" w:space="0" w:color="000000"/>
              <w:bottom w:val="double" w:sz="6" w:space="0" w:color="000000"/>
            </w:tcBorders>
          </w:tcPr>
          <w:p>
            <w:pPr>
              <w:pStyle w:val="TableParagraph"/>
              <w:spacing w:before="22"/>
              <w:ind w:right="69"/>
              <w:jc w:val="right"/>
              <w:rPr>
                <w:b/>
                <w:sz w:val="16"/>
              </w:rPr>
            </w:pPr>
            <w:r>
              <w:rPr>
                <w:b/>
                <w:spacing w:val="-2"/>
                <w:sz w:val="16"/>
              </w:rPr>
              <w:t>245.441.302,19</w:t>
            </w:r>
          </w:p>
        </w:tc>
      </w:tr>
    </w:tbl>
    <w:p>
      <w:pPr>
        <w:pStyle w:val="BodyText"/>
        <w:spacing w:before="3"/>
      </w:pPr>
    </w:p>
    <w:p>
      <w:pPr>
        <w:pStyle w:val="BodyText"/>
        <w:spacing w:line="247" w:lineRule="auto"/>
        <w:ind w:left="995" w:right="837"/>
        <w:jc w:val="both"/>
      </w:pPr>
      <w:r>
        <w:rPr/>
        <w:t>La Sociedad se encuentra desarrollando las actuaciones de integración correspondientes a las obras ferroviarias</w:t>
      </w:r>
      <w:r>
        <w:rPr>
          <w:spacing w:val="-12"/>
        </w:rPr>
        <w:t> </w:t>
      </w:r>
      <w:r>
        <w:rPr/>
        <w:t>fases</w:t>
      </w:r>
      <w:r>
        <w:rPr>
          <w:spacing w:val="-12"/>
        </w:rPr>
        <w:t> </w:t>
      </w:r>
      <w:r>
        <w:rPr/>
        <w:t>1</w:t>
      </w:r>
      <w:r>
        <w:rPr>
          <w:spacing w:val="-11"/>
        </w:rPr>
        <w:t> </w:t>
      </w:r>
      <w:r>
        <w:rPr/>
        <w:t>y</w:t>
      </w:r>
      <w:r>
        <w:rPr>
          <w:spacing w:val="-12"/>
        </w:rPr>
        <w:t> </w:t>
      </w:r>
      <w:r>
        <w:rPr/>
        <w:t>2,</w:t>
      </w:r>
      <w:r>
        <w:rPr>
          <w:spacing w:val="-11"/>
        </w:rPr>
        <w:t> </w:t>
      </w:r>
      <w:r>
        <w:rPr/>
        <w:t>así</w:t>
      </w:r>
      <w:r>
        <w:rPr>
          <w:spacing w:val="-12"/>
        </w:rPr>
        <w:t> </w:t>
      </w:r>
      <w:r>
        <w:rPr/>
        <w:t>como</w:t>
      </w:r>
      <w:r>
        <w:rPr>
          <w:spacing w:val="-10"/>
        </w:rPr>
        <w:t> </w:t>
      </w:r>
      <w:r>
        <w:rPr/>
        <w:t>las</w:t>
      </w:r>
      <w:r>
        <w:rPr>
          <w:spacing w:val="-12"/>
        </w:rPr>
        <w:t> </w:t>
      </w:r>
      <w:r>
        <w:rPr/>
        <w:t>actuaciones</w:t>
      </w:r>
      <w:r>
        <w:rPr>
          <w:spacing w:val="-11"/>
        </w:rPr>
        <w:t> </w:t>
      </w:r>
      <w:r>
        <w:rPr/>
        <w:t>urbanísticas</w:t>
      </w:r>
      <w:r>
        <w:rPr>
          <w:spacing w:val="-10"/>
        </w:rPr>
        <w:t> </w:t>
      </w:r>
      <w:r>
        <w:rPr/>
        <w:t>contempladas</w:t>
      </w:r>
      <w:r>
        <w:rPr>
          <w:spacing w:val="-11"/>
        </w:rPr>
        <w:t> </w:t>
      </w:r>
      <w:r>
        <w:rPr/>
        <w:t>en</w:t>
      </w:r>
      <w:r>
        <w:rPr>
          <w:spacing w:val="-11"/>
        </w:rPr>
        <w:t> </w:t>
      </w:r>
      <w:r>
        <w:rPr/>
        <w:t>la</w:t>
      </w:r>
      <w:r>
        <w:rPr>
          <w:spacing w:val="-11"/>
        </w:rPr>
        <w:t> </w:t>
      </w:r>
      <w:r>
        <w:rPr/>
        <w:t>Adenda</w:t>
      </w:r>
      <w:r>
        <w:rPr>
          <w:spacing w:val="-11"/>
        </w:rPr>
        <w:t> </w:t>
      </w:r>
      <w:r>
        <w:rPr/>
        <w:t>Modificativa al Convenio de 2006. Al 31 de diciembre de 2025 y 2024, la cifra de existencias recoge los gastos activados</w:t>
      </w:r>
      <w:r>
        <w:rPr>
          <w:spacing w:val="-14"/>
        </w:rPr>
        <w:t> </w:t>
      </w:r>
      <w:r>
        <w:rPr/>
        <w:t>en</w:t>
      </w:r>
      <w:r>
        <w:rPr>
          <w:spacing w:val="-14"/>
        </w:rPr>
        <w:t> </w:t>
      </w:r>
      <w:r>
        <w:rPr/>
        <w:t>los</w:t>
      </w:r>
      <w:r>
        <w:rPr>
          <w:spacing w:val="-11"/>
        </w:rPr>
        <w:t> </w:t>
      </w:r>
      <w:r>
        <w:rPr/>
        <w:t>que</w:t>
      </w:r>
      <w:r>
        <w:rPr>
          <w:spacing w:val="-14"/>
        </w:rPr>
        <w:t> </w:t>
      </w:r>
      <w:r>
        <w:rPr/>
        <w:t>la</w:t>
      </w:r>
      <w:r>
        <w:rPr>
          <w:spacing w:val="-12"/>
        </w:rPr>
        <w:t> </w:t>
      </w:r>
      <w:r>
        <w:rPr/>
        <w:t>Sociedad</w:t>
      </w:r>
      <w:r>
        <w:rPr>
          <w:spacing w:val="-13"/>
        </w:rPr>
        <w:t> </w:t>
      </w:r>
      <w:r>
        <w:rPr/>
        <w:t>ha</w:t>
      </w:r>
      <w:r>
        <w:rPr>
          <w:spacing w:val="-13"/>
        </w:rPr>
        <w:t> </w:t>
      </w:r>
      <w:r>
        <w:rPr/>
        <w:t>incurrido</w:t>
      </w:r>
      <w:r>
        <w:rPr>
          <w:spacing w:val="-12"/>
        </w:rPr>
        <w:t> </w:t>
      </w:r>
      <w:r>
        <w:rPr/>
        <w:t>desde</w:t>
      </w:r>
      <w:r>
        <w:rPr>
          <w:spacing w:val="-14"/>
        </w:rPr>
        <w:t> </w:t>
      </w:r>
      <w:r>
        <w:rPr/>
        <w:t>su</w:t>
      </w:r>
      <w:r>
        <w:rPr>
          <w:spacing w:val="-11"/>
        </w:rPr>
        <w:t> </w:t>
      </w:r>
      <w:r>
        <w:rPr/>
        <w:t>constitución</w:t>
      </w:r>
      <w:r>
        <w:rPr>
          <w:spacing w:val="-14"/>
        </w:rPr>
        <w:t> </w:t>
      </w:r>
      <w:r>
        <w:rPr/>
        <w:t>y</w:t>
      </w:r>
      <w:r>
        <w:rPr>
          <w:spacing w:val="-12"/>
        </w:rPr>
        <w:t> </w:t>
      </w:r>
      <w:r>
        <w:rPr/>
        <w:t>que</w:t>
      </w:r>
      <w:r>
        <w:rPr>
          <w:spacing w:val="-13"/>
        </w:rPr>
        <w:t> </w:t>
      </w:r>
      <w:r>
        <w:rPr/>
        <w:t>se</w:t>
      </w:r>
      <w:r>
        <w:rPr>
          <w:spacing w:val="-13"/>
        </w:rPr>
        <w:t> </w:t>
      </w:r>
      <w:r>
        <w:rPr/>
        <w:t>consideran</w:t>
      </w:r>
      <w:r>
        <w:rPr>
          <w:spacing w:val="-13"/>
        </w:rPr>
        <w:t> </w:t>
      </w:r>
      <w:r>
        <w:rPr/>
        <w:t>necesarios</w:t>
      </w:r>
      <w:r>
        <w:rPr>
          <w:spacing w:val="-12"/>
        </w:rPr>
        <w:t> </w:t>
      </w:r>
      <w:r>
        <w:rPr/>
        <w:t>para la adquisición y producción de existencias.</w:t>
      </w:r>
    </w:p>
    <w:p>
      <w:pPr>
        <w:pStyle w:val="BodyText"/>
        <w:spacing w:line="247" w:lineRule="auto" w:before="241"/>
        <w:ind w:left="993" w:right="839"/>
        <w:jc w:val="both"/>
      </w:pPr>
      <w:r>
        <w:rPr/>
        <w:t>A fecha de cierre del ejercicio 2025, la Sociedad ha activado gastos incurridos en otras actuaciones, entendiéndose estas conforme a la definición de la cláusula séptima de la Adenda Modificativa al Convenio de 2006, que establece que la Sociedad coordinará la realización de estudios y proyectos necesarios para la ejecución de las actuaciones urbanísticas y de transporte a las que hace mención el documento, sin perjuicio de las competencias que correspondan al Ayuntamiento de Murcia y a la Comunidad</w:t>
      </w:r>
      <w:r>
        <w:rPr>
          <w:spacing w:val="19"/>
        </w:rPr>
        <w:t> </w:t>
      </w:r>
      <w:r>
        <w:rPr/>
        <w:t>Autónoma</w:t>
      </w:r>
      <w:r>
        <w:rPr>
          <w:spacing w:val="21"/>
        </w:rPr>
        <w:t> </w:t>
      </w:r>
      <w:r>
        <w:rPr/>
        <w:t>de</w:t>
      </w:r>
      <w:r>
        <w:rPr>
          <w:spacing w:val="21"/>
        </w:rPr>
        <w:t> </w:t>
      </w:r>
      <w:r>
        <w:rPr/>
        <w:t>la</w:t>
      </w:r>
      <w:r>
        <w:rPr>
          <w:spacing w:val="21"/>
        </w:rPr>
        <w:t> </w:t>
      </w:r>
      <w:r>
        <w:rPr/>
        <w:t>Región</w:t>
      </w:r>
      <w:r>
        <w:rPr>
          <w:spacing w:val="21"/>
        </w:rPr>
        <w:t> </w:t>
      </w:r>
      <w:r>
        <w:rPr/>
        <w:t>de</w:t>
      </w:r>
      <w:r>
        <w:rPr>
          <w:spacing w:val="20"/>
        </w:rPr>
        <w:t> </w:t>
      </w:r>
      <w:r>
        <w:rPr/>
        <w:t>Murcia.</w:t>
      </w:r>
      <w:r>
        <w:rPr>
          <w:spacing w:val="21"/>
        </w:rPr>
        <w:t> </w:t>
      </w:r>
      <w:r>
        <w:rPr/>
        <w:t>En</w:t>
      </w:r>
      <w:r>
        <w:rPr>
          <w:spacing w:val="22"/>
        </w:rPr>
        <w:t> </w:t>
      </w:r>
      <w:r>
        <w:rPr/>
        <w:t>el</w:t>
      </w:r>
      <w:r>
        <w:rPr>
          <w:spacing w:val="21"/>
        </w:rPr>
        <w:t> </w:t>
      </w:r>
      <w:r>
        <w:rPr/>
        <w:t>mismo</w:t>
      </w:r>
      <w:r>
        <w:rPr>
          <w:spacing w:val="21"/>
        </w:rPr>
        <w:t> </w:t>
      </w:r>
      <w:r>
        <w:rPr/>
        <w:t>sentido,</w:t>
      </w:r>
      <w:r>
        <w:rPr>
          <w:spacing w:val="21"/>
        </w:rPr>
        <w:t> </w:t>
      </w:r>
      <w:r>
        <w:rPr/>
        <w:t>el</w:t>
      </w:r>
      <w:r>
        <w:rPr>
          <w:spacing w:val="21"/>
        </w:rPr>
        <w:t> </w:t>
      </w:r>
      <w:r>
        <w:rPr/>
        <w:t>Convenio</w:t>
      </w:r>
      <w:r>
        <w:rPr>
          <w:spacing w:val="22"/>
        </w:rPr>
        <w:t> </w:t>
      </w:r>
      <w:r>
        <w:rPr/>
        <w:t>suscrito</w:t>
      </w:r>
      <w:r>
        <w:rPr>
          <w:spacing w:val="22"/>
        </w:rPr>
        <w:t> </w:t>
      </w:r>
      <w:r>
        <w:rPr/>
        <w:t>con</w:t>
      </w:r>
      <w:r>
        <w:rPr>
          <w:spacing w:val="22"/>
        </w:rPr>
        <w:t> </w:t>
      </w:r>
      <w:r>
        <w:rPr>
          <w:spacing w:val="-5"/>
        </w:rPr>
        <w:t>el</w:t>
      </w:r>
    </w:p>
    <w:p>
      <w:pPr>
        <w:pStyle w:val="BodyText"/>
        <w:spacing w:after="0" w:line="247" w:lineRule="auto"/>
        <w:jc w:val="both"/>
        <w:sectPr>
          <w:type w:val="continuous"/>
          <w:pgSz w:w="11910" w:h="16840"/>
          <w:pgMar w:header="694" w:footer="690" w:top="1920" w:bottom="280" w:left="708" w:right="425"/>
        </w:sectPr>
      </w:pPr>
    </w:p>
    <w:p>
      <w:pPr>
        <w:pStyle w:val="BodyText"/>
        <w:spacing w:line="247" w:lineRule="auto" w:before="187"/>
        <w:ind w:left="993" w:right="835"/>
        <w:jc w:val="both"/>
      </w:pPr>
      <w:r>
        <w:rPr/>
        <w:t>Ayuntamiento de Murcia de 5 de agosto de 2020 establece que la Sociedad abonará los importes que se deriven de la ejecución de la prestación objeto del Convenio correspondientes a la realización de estudios y proyectos de planeamiento, gestión urbanística y de urbanización realizados por cuenta de la</w:t>
      </w:r>
      <w:r>
        <w:rPr>
          <w:spacing w:val="-7"/>
        </w:rPr>
        <w:t> </w:t>
      </w:r>
      <w:r>
        <w:rPr/>
        <w:t>Sociedad</w:t>
      </w:r>
      <w:r>
        <w:rPr>
          <w:spacing w:val="-6"/>
        </w:rPr>
        <w:t> </w:t>
      </w:r>
      <w:r>
        <w:rPr/>
        <w:t>así</w:t>
      </w:r>
      <w:r>
        <w:rPr>
          <w:spacing w:val="-7"/>
        </w:rPr>
        <w:t> </w:t>
      </w:r>
      <w:r>
        <w:rPr/>
        <w:t>como</w:t>
      </w:r>
      <w:r>
        <w:rPr>
          <w:spacing w:val="-6"/>
        </w:rPr>
        <w:t> </w:t>
      </w:r>
      <w:r>
        <w:rPr/>
        <w:t>trabajos</w:t>
      </w:r>
      <w:r>
        <w:rPr>
          <w:spacing w:val="-7"/>
        </w:rPr>
        <w:t> </w:t>
      </w:r>
      <w:r>
        <w:rPr/>
        <w:t>de</w:t>
      </w:r>
      <w:r>
        <w:rPr>
          <w:spacing w:val="-7"/>
        </w:rPr>
        <w:t> </w:t>
      </w:r>
      <w:r>
        <w:rPr/>
        <w:t>Dirección</w:t>
      </w:r>
      <w:r>
        <w:rPr>
          <w:spacing w:val="-6"/>
        </w:rPr>
        <w:t> </w:t>
      </w:r>
      <w:r>
        <w:rPr/>
        <w:t>Facultativa</w:t>
      </w:r>
      <w:r>
        <w:rPr>
          <w:spacing w:val="-7"/>
        </w:rPr>
        <w:t> </w:t>
      </w:r>
      <w:r>
        <w:rPr/>
        <w:t>y</w:t>
      </w:r>
      <w:r>
        <w:rPr>
          <w:spacing w:val="-6"/>
        </w:rPr>
        <w:t> </w:t>
      </w:r>
      <w:r>
        <w:rPr/>
        <w:t>de</w:t>
      </w:r>
      <w:r>
        <w:rPr>
          <w:spacing w:val="-7"/>
        </w:rPr>
        <w:t> </w:t>
      </w:r>
      <w:r>
        <w:rPr/>
        <w:t>Coordinación</w:t>
      </w:r>
      <w:r>
        <w:rPr>
          <w:spacing w:val="-6"/>
        </w:rPr>
        <w:t> </w:t>
      </w:r>
      <w:r>
        <w:rPr/>
        <w:t>de</w:t>
      </w:r>
      <w:r>
        <w:rPr>
          <w:spacing w:val="-7"/>
        </w:rPr>
        <w:t> </w:t>
      </w:r>
      <w:r>
        <w:rPr/>
        <w:t>Seguridad</w:t>
      </w:r>
      <w:r>
        <w:rPr>
          <w:spacing w:val="-7"/>
        </w:rPr>
        <w:t> </w:t>
      </w:r>
      <w:r>
        <w:rPr/>
        <w:t>y</w:t>
      </w:r>
      <w:r>
        <w:rPr>
          <w:spacing w:val="-8"/>
        </w:rPr>
        <w:t> </w:t>
      </w:r>
      <w:r>
        <w:rPr/>
        <w:t>Salud</w:t>
      </w:r>
      <w:r>
        <w:rPr>
          <w:spacing w:val="-7"/>
        </w:rPr>
        <w:t> </w:t>
      </w:r>
      <w:r>
        <w:rPr/>
        <w:t>de</w:t>
      </w:r>
      <w:r>
        <w:rPr>
          <w:spacing w:val="-7"/>
        </w:rPr>
        <w:t> </w:t>
      </w:r>
      <w:r>
        <w:rPr/>
        <w:t>las obras de urbanización del ámbito PC-Mc10, incluidas las que resulten complementarias al mismo, directamente al Ayuntamiento de Murcia o a los adjudicatarios de los contratos de dirección y redacción de proyectos y de dirección y asistencia técnica de las obras. Asimismo, la Sociedad tramitará los expedientes de contratación de terceros relativos a las actuaciones. El importe activado en el ejercicio 2025 como gastos derivados de otras actuaciones de integración asciende a -178,99 euros (82.130,36 euros en el ejercicio 2024).</w:t>
      </w:r>
    </w:p>
    <w:p>
      <w:pPr>
        <w:pStyle w:val="BodyText"/>
        <w:spacing w:line="247" w:lineRule="auto" w:before="238"/>
        <w:ind w:left="995" w:right="842"/>
        <w:jc w:val="both"/>
      </w:pPr>
      <w:r>
        <w:rPr/>
        <w:t>Durante los ejercicios 2025 y 2024 no se han activado gastos financieros como mayor valor de existencias.</w:t>
      </w:r>
      <w:r>
        <w:rPr>
          <w:spacing w:val="-3"/>
        </w:rPr>
        <w:t> </w:t>
      </w:r>
      <w:r>
        <w:rPr/>
        <w:t>No</w:t>
      </w:r>
      <w:r>
        <w:rPr>
          <w:spacing w:val="-4"/>
        </w:rPr>
        <w:t> </w:t>
      </w:r>
      <w:r>
        <w:rPr/>
        <w:t>obstante,</w:t>
      </w:r>
      <w:r>
        <w:rPr>
          <w:spacing w:val="-4"/>
        </w:rPr>
        <w:t> </w:t>
      </w:r>
      <w:r>
        <w:rPr/>
        <w:t>la</w:t>
      </w:r>
      <w:r>
        <w:rPr>
          <w:spacing w:val="-5"/>
        </w:rPr>
        <w:t> </w:t>
      </w:r>
      <w:r>
        <w:rPr/>
        <w:t>Sociedad</w:t>
      </w:r>
      <w:r>
        <w:rPr>
          <w:spacing w:val="-4"/>
        </w:rPr>
        <w:t> </w:t>
      </w:r>
      <w:r>
        <w:rPr/>
        <w:t>procedió</w:t>
      </w:r>
      <w:r>
        <w:rPr>
          <w:spacing w:val="-4"/>
        </w:rPr>
        <w:t> </w:t>
      </w:r>
      <w:r>
        <w:rPr/>
        <w:t>a</w:t>
      </w:r>
      <w:r>
        <w:rPr>
          <w:spacing w:val="-5"/>
        </w:rPr>
        <w:t> </w:t>
      </w:r>
      <w:r>
        <w:rPr/>
        <w:t>imputar</w:t>
      </w:r>
      <w:r>
        <w:rPr>
          <w:spacing w:val="-2"/>
        </w:rPr>
        <w:t> </w:t>
      </w:r>
      <w:r>
        <w:rPr/>
        <w:t>en</w:t>
      </w:r>
      <w:r>
        <w:rPr>
          <w:spacing w:val="-5"/>
        </w:rPr>
        <w:t> </w:t>
      </w:r>
      <w:r>
        <w:rPr/>
        <w:t>ejercicios</w:t>
      </w:r>
      <w:r>
        <w:rPr>
          <w:spacing w:val="-5"/>
        </w:rPr>
        <w:t> </w:t>
      </w:r>
      <w:r>
        <w:rPr/>
        <w:t>anteriores</w:t>
      </w:r>
      <w:r>
        <w:rPr>
          <w:spacing w:val="-3"/>
        </w:rPr>
        <w:t> </w:t>
      </w:r>
      <w:r>
        <w:rPr/>
        <w:t>“Gastos</w:t>
      </w:r>
      <w:r>
        <w:rPr>
          <w:spacing w:val="-5"/>
        </w:rPr>
        <w:t> </w:t>
      </w:r>
      <w:r>
        <w:rPr/>
        <w:t>financieros” por</w:t>
      </w:r>
      <w:r>
        <w:rPr>
          <w:spacing w:val="-12"/>
        </w:rPr>
        <w:t> </w:t>
      </w:r>
      <w:r>
        <w:rPr/>
        <w:t>importe</w:t>
      </w:r>
      <w:r>
        <w:rPr>
          <w:spacing w:val="-13"/>
        </w:rPr>
        <w:t> </w:t>
      </w:r>
      <w:r>
        <w:rPr/>
        <w:t>de</w:t>
      </w:r>
      <w:r>
        <w:rPr>
          <w:spacing w:val="-13"/>
        </w:rPr>
        <w:t> </w:t>
      </w:r>
      <w:r>
        <w:rPr/>
        <w:t>907.657</w:t>
      </w:r>
      <w:r>
        <w:rPr>
          <w:spacing w:val="-12"/>
        </w:rPr>
        <w:t> </w:t>
      </w:r>
      <w:r>
        <w:rPr/>
        <w:t>euros</w:t>
      </w:r>
      <w:r>
        <w:rPr>
          <w:spacing w:val="-10"/>
        </w:rPr>
        <w:t> </w:t>
      </w:r>
      <w:r>
        <w:rPr/>
        <w:t>a</w:t>
      </w:r>
      <w:r>
        <w:rPr>
          <w:spacing w:val="-12"/>
        </w:rPr>
        <w:t> </w:t>
      </w:r>
      <w:r>
        <w:rPr/>
        <w:t>cada</w:t>
      </w:r>
      <w:r>
        <w:rPr>
          <w:spacing w:val="-12"/>
        </w:rPr>
        <w:t> </w:t>
      </w:r>
      <w:r>
        <w:rPr/>
        <w:t>actuación,</w:t>
      </w:r>
      <w:r>
        <w:rPr>
          <w:spacing w:val="-11"/>
        </w:rPr>
        <w:t> </w:t>
      </w:r>
      <w:r>
        <w:rPr/>
        <w:t>en</w:t>
      </w:r>
      <w:r>
        <w:rPr>
          <w:spacing w:val="-11"/>
        </w:rPr>
        <w:t> </w:t>
      </w:r>
      <w:r>
        <w:rPr/>
        <w:t>función</w:t>
      </w:r>
      <w:r>
        <w:rPr>
          <w:spacing w:val="-12"/>
        </w:rPr>
        <w:t> </w:t>
      </w:r>
      <w:r>
        <w:rPr/>
        <w:t>del</w:t>
      </w:r>
      <w:r>
        <w:rPr>
          <w:spacing w:val="-11"/>
        </w:rPr>
        <w:t> </w:t>
      </w:r>
      <w:r>
        <w:rPr/>
        <w:t>porcentaje</w:t>
      </w:r>
      <w:r>
        <w:rPr>
          <w:spacing w:val="-12"/>
        </w:rPr>
        <w:t> </w:t>
      </w:r>
      <w:r>
        <w:rPr/>
        <w:t>que</w:t>
      </w:r>
      <w:r>
        <w:rPr>
          <w:spacing w:val="-12"/>
        </w:rPr>
        <w:t> </w:t>
      </w:r>
      <w:r>
        <w:rPr/>
        <w:t>representa</w:t>
      </w:r>
      <w:r>
        <w:rPr>
          <w:spacing w:val="-12"/>
        </w:rPr>
        <w:t> </w:t>
      </w:r>
      <w:r>
        <w:rPr/>
        <w:t>cada</w:t>
      </w:r>
      <w:r>
        <w:rPr>
          <w:spacing w:val="-12"/>
        </w:rPr>
        <w:t> </w:t>
      </w:r>
      <w:r>
        <w:rPr/>
        <w:t>tipología sobre el total.</w:t>
      </w:r>
    </w:p>
    <w:p>
      <w:pPr>
        <w:pStyle w:val="BodyText"/>
        <w:spacing w:line="247" w:lineRule="auto" w:before="236"/>
        <w:ind w:left="995" w:right="848"/>
        <w:jc w:val="both"/>
      </w:pPr>
      <w:r>
        <w:rPr/>
        <w:t>En</w:t>
      </w:r>
      <w:r>
        <w:rPr>
          <w:spacing w:val="-12"/>
        </w:rPr>
        <w:t> </w:t>
      </w:r>
      <w:r>
        <w:rPr/>
        <w:t>el</w:t>
      </w:r>
      <w:r>
        <w:rPr>
          <w:spacing w:val="-13"/>
        </w:rPr>
        <w:t> </w:t>
      </w:r>
      <w:r>
        <w:rPr/>
        <w:t>ejercicio</w:t>
      </w:r>
      <w:r>
        <w:rPr>
          <w:spacing w:val="-12"/>
        </w:rPr>
        <w:t> </w:t>
      </w:r>
      <w:r>
        <w:rPr/>
        <w:t>2025,</w:t>
      </w:r>
      <w:r>
        <w:rPr>
          <w:spacing w:val="-13"/>
        </w:rPr>
        <w:t> </w:t>
      </w:r>
      <w:r>
        <w:rPr/>
        <w:t>la</w:t>
      </w:r>
      <w:r>
        <w:rPr>
          <w:spacing w:val="-13"/>
        </w:rPr>
        <w:t> </w:t>
      </w:r>
      <w:r>
        <w:rPr/>
        <w:t>Sociedad</w:t>
      </w:r>
      <w:r>
        <w:rPr>
          <w:spacing w:val="-12"/>
        </w:rPr>
        <w:t> </w:t>
      </w:r>
      <w:r>
        <w:rPr/>
        <w:t>ha</w:t>
      </w:r>
      <w:r>
        <w:rPr>
          <w:spacing w:val="-13"/>
        </w:rPr>
        <w:t> </w:t>
      </w:r>
      <w:r>
        <w:rPr/>
        <w:t>procedido</w:t>
      </w:r>
      <w:r>
        <w:rPr>
          <w:spacing w:val="-12"/>
        </w:rPr>
        <w:t> </w:t>
      </w:r>
      <w:r>
        <w:rPr/>
        <w:t>a</w:t>
      </w:r>
      <w:r>
        <w:rPr>
          <w:spacing w:val="-13"/>
        </w:rPr>
        <w:t> </w:t>
      </w:r>
      <w:r>
        <w:rPr/>
        <w:t>cuantificar</w:t>
      </w:r>
      <w:r>
        <w:rPr>
          <w:spacing w:val="-13"/>
        </w:rPr>
        <w:t> </w:t>
      </w:r>
      <w:r>
        <w:rPr/>
        <w:t>contablemente</w:t>
      </w:r>
      <w:r>
        <w:rPr>
          <w:spacing w:val="-13"/>
        </w:rPr>
        <w:t> </w:t>
      </w:r>
      <w:r>
        <w:rPr/>
        <w:t>los</w:t>
      </w:r>
      <w:r>
        <w:rPr>
          <w:spacing w:val="-13"/>
        </w:rPr>
        <w:t> </w:t>
      </w:r>
      <w:r>
        <w:rPr/>
        <w:t>gastos</w:t>
      </w:r>
      <w:r>
        <w:rPr>
          <w:spacing w:val="-13"/>
        </w:rPr>
        <w:t> </w:t>
      </w:r>
      <w:r>
        <w:rPr/>
        <w:t>operativos</w:t>
      </w:r>
      <w:r>
        <w:rPr>
          <w:spacing w:val="-13"/>
        </w:rPr>
        <w:t> </w:t>
      </w:r>
      <w:r>
        <w:rPr/>
        <w:t>a</w:t>
      </w:r>
      <w:r>
        <w:rPr>
          <w:spacing w:val="-13"/>
        </w:rPr>
        <w:t> </w:t>
      </w:r>
      <w:r>
        <w:rPr/>
        <w:t>cada una</w:t>
      </w:r>
      <w:r>
        <w:rPr>
          <w:spacing w:val="-3"/>
        </w:rPr>
        <w:t> </w:t>
      </w:r>
      <w:r>
        <w:rPr/>
        <w:t>de</w:t>
      </w:r>
      <w:r>
        <w:rPr>
          <w:spacing w:val="-3"/>
        </w:rPr>
        <w:t> </w:t>
      </w:r>
      <w:r>
        <w:rPr/>
        <w:t>las</w:t>
      </w:r>
      <w:r>
        <w:rPr>
          <w:spacing w:val="-3"/>
        </w:rPr>
        <w:t> </w:t>
      </w:r>
      <w:r>
        <w:rPr/>
        <w:t>actuaciones</w:t>
      </w:r>
      <w:r>
        <w:rPr>
          <w:spacing w:val="-3"/>
        </w:rPr>
        <w:t> </w:t>
      </w:r>
      <w:r>
        <w:rPr/>
        <w:t>en</w:t>
      </w:r>
      <w:r>
        <w:rPr>
          <w:spacing w:val="-3"/>
        </w:rPr>
        <w:t> </w:t>
      </w:r>
      <w:r>
        <w:rPr/>
        <w:t>base</w:t>
      </w:r>
      <w:r>
        <w:rPr>
          <w:spacing w:val="-2"/>
        </w:rPr>
        <w:t> </w:t>
      </w:r>
      <w:r>
        <w:rPr/>
        <w:t>a</w:t>
      </w:r>
      <w:r>
        <w:rPr>
          <w:spacing w:val="-3"/>
        </w:rPr>
        <w:t> </w:t>
      </w:r>
      <w:r>
        <w:rPr/>
        <w:t>un</w:t>
      </w:r>
      <w:r>
        <w:rPr>
          <w:spacing w:val="-2"/>
        </w:rPr>
        <w:t> </w:t>
      </w:r>
      <w:r>
        <w:rPr/>
        <w:t>criterio</w:t>
      </w:r>
      <w:r>
        <w:rPr>
          <w:spacing w:val="-2"/>
        </w:rPr>
        <w:t> </w:t>
      </w:r>
      <w:r>
        <w:rPr/>
        <w:t>de</w:t>
      </w:r>
      <w:r>
        <w:rPr>
          <w:spacing w:val="-3"/>
        </w:rPr>
        <w:t> </w:t>
      </w:r>
      <w:r>
        <w:rPr/>
        <w:t>reparto,</w:t>
      </w:r>
      <w:r>
        <w:rPr>
          <w:spacing w:val="-3"/>
        </w:rPr>
        <w:t> </w:t>
      </w:r>
      <w:r>
        <w:rPr/>
        <w:t>consistente</w:t>
      </w:r>
      <w:r>
        <w:rPr>
          <w:spacing w:val="-1"/>
        </w:rPr>
        <w:t> </w:t>
      </w:r>
      <w:r>
        <w:rPr/>
        <w:t>en</w:t>
      </w:r>
      <w:r>
        <w:rPr>
          <w:spacing w:val="-3"/>
        </w:rPr>
        <w:t> </w:t>
      </w:r>
      <w:r>
        <w:rPr/>
        <w:t>el</w:t>
      </w:r>
      <w:r>
        <w:rPr>
          <w:spacing w:val="-2"/>
        </w:rPr>
        <w:t> </w:t>
      </w:r>
      <w:r>
        <w:rPr/>
        <w:t>porcentaje</w:t>
      </w:r>
      <w:r>
        <w:rPr>
          <w:spacing w:val="-3"/>
        </w:rPr>
        <w:t> </w:t>
      </w:r>
      <w:r>
        <w:rPr/>
        <w:t>que</w:t>
      </w:r>
      <w:r>
        <w:rPr>
          <w:spacing w:val="-3"/>
        </w:rPr>
        <w:t> </w:t>
      </w:r>
      <w:r>
        <w:rPr/>
        <w:t>cada</w:t>
      </w:r>
      <w:r>
        <w:rPr>
          <w:spacing w:val="-1"/>
        </w:rPr>
        <w:t> </w:t>
      </w:r>
      <w:r>
        <w:rPr/>
        <w:t>tipología de proyectos representa sobre el total de existencias.</w:t>
      </w:r>
    </w:p>
    <w:p>
      <w:pPr>
        <w:pStyle w:val="BodyText"/>
        <w:spacing w:line="247" w:lineRule="auto" w:before="236"/>
        <w:ind w:left="995" w:right="842"/>
        <w:jc w:val="both"/>
      </w:pPr>
      <w:r>
        <w:rPr/>
        <w:t>El</w:t>
      </w:r>
      <w:r>
        <w:rPr>
          <w:spacing w:val="-6"/>
        </w:rPr>
        <w:t> </w:t>
      </w:r>
      <w:r>
        <w:rPr/>
        <w:t>detalle</w:t>
      </w:r>
      <w:r>
        <w:rPr>
          <w:spacing w:val="-6"/>
        </w:rPr>
        <w:t> </w:t>
      </w:r>
      <w:r>
        <w:rPr/>
        <w:t>de</w:t>
      </w:r>
      <w:r>
        <w:rPr>
          <w:spacing w:val="-5"/>
        </w:rPr>
        <w:t> </w:t>
      </w:r>
      <w:r>
        <w:rPr/>
        <w:t>las</w:t>
      </w:r>
      <w:r>
        <w:rPr>
          <w:spacing w:val="-6"/>
        </w:rPr>
        <w:t> </w:t>
      </w:r>
      <w:r>
        <w:rPr/>
        <w:t>existencias</w:t>
      </w:r>
      <w:r>
        <w:rPr>
          <w:spacing w:val="-4"/>
        </w:rPr>
        <w:t> </w:t>
      </w:r>
      <w:r>
        <w:rPr/>
        <w:t>aplicando</w:t>
      </w:r>
      <w:r>
        <w:rPr>
          <w:spacing w:val="-5"/>
        </w:rPr>
        <w:t> </w:t>
      </w:r>
      <w:r>
        <w:rPr/>
        <w:t>los</w:t>
      </w:r>
      <w:r>
        <w:rPr>
          <w:spacing w:val="-6"/>
        </w:rPr>
        <w:t> </w:t>
      </w:r>
      <w:r>
        <w:rPr/>
        <w:t>gastos</w:t>
      </w:r>
      <w:r>
        <w:rPr>
          <w:spacing w:val="-6"/>
        </w:rPr>
        <w:t> </w:t>
      </w:r>
      <w:r>
        <w:rPr/>
        <w:t>financieros</w:t>
      </w:r>
      <w:r>
        <w:rPr>
          <w:spacing w:val="-5"/>
        </w:rPr>
        <w:t> </w:t>
      </w:r>
      <w:r>
        <w:rPr/>
        <w:t>y</w:t>
      </w:r>
      <w:r>
        <w:rPr>
          <w:spacing w:val="-5"/>
        </w:rPr>
        <w:t> </w:t>
      </w:r>
      <w:r>
        <w:rPr/>
        <w:t>otros</w:t>
      </w:r>
      <w:r>
        <w:rPr>
          <w:spacing w:val="-6"/>
        </w:rPr>
        <w:t> </w:t>
      </w:r>
      <w:r>
        <w:rPr/>
        <w:t>gastos</w:t>
      </w:r>
      <w:r>
        <w:rPr>
          <w:spacing w:val="-6"/>
        </w:rPr>
        <w:t> </w:t>
      </w:r>
      <w:r>
        <w:rPr/>
        <w:t>operativos</w:t>
      </w:r>
      <w:r>
        <w:rPr>
          <w:spacing w:val="-6"/>
        </w:rPr>
        <w:t> </w:t>
      </w:r>
      <w:r>
        <w:rPr/>
        <w:t>para</w:t>
      </w:r>
      <w:r>
        <w:rPr>
          <w:spacing w:val="-6"/>
        </w:rPr>
        <w:t> </w:t>
      </w:r>
      <w:r>
        <w:rPr/>
        <w:t>el</w:t>
      </w:r>
      <w:r>
        <w:rPr>
          <w:spacing w:val="-6"/>
        </w:rPr>
        <w:t> </w:t>
      </w:r>
      <w:r>
        <w:rPr/>
        <w:t>ejercicio 2025 es el siguiente:</w:t>
      </w:r>
    </w:p>
    <w:p>
      <w:pPr>
        <w:pStyle w:val="BodyText"/>
        <w:spacing w:before="9"/>
        <w:rPr>
          <w:sz w:val="13"/>
        </w:rPr>
      </w:pPr>
    </w:p>
    <w:tbl>
      <w:tblPr>
        <w:tblW w:w="0" w:type="auto"/>
        <w:jc w:val="left"/>
        <w:tblInd w:w="15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45"/>
        <w:gridCol w:w="1198"/>
        <w:gridCol w:w="1232"/>
        <w:gridCol w:w="1166"/>
        <w:gridCol w:w="1255"/>
      </w:tblGrid>
      <w:tr>
        <w:trPr>
          <w:trHeight w:val="198" w:hRule="atLeast"/>
        </w:trPr>
        <w:tc>
          <w:tcPr>
            <w:tcW w:w="7896" w:type="dxa"/>
            <w:gridSpan w:val="5"/>
          </w:tcPr>
          <w:p>
            <w:pPr>
              <w:pStyle w:val="TableParagraph"/>
              <w:spacing w:line="177" w:lineRule="exact"/>
              <w:ind w:left="3740"/>
              <w:rPr>
                <w:b/>
                <w:sz w:val="16"/>
              </w:rPr>
            </w:pPr>
            <w:r>
              <w:rPr>
                <w:b/>
                <w:sz w:val="16"/>
              </w:rPr>
              <w:t>Importes</w:t>
            </w:r>
            <w:r>
              <w:rPr>
                <w:b/>
                <w:spacing w:val="-7"/>
                <w:sz w:val="16"/>
              </w:rPr>
              <w:t> </w:t>
            </w:r>
            <w:r>
              <w:rPr>
                <w:b/>
                <w:sz w:val="16"/>
              </w:rPr>
              <w:t>acumulados</w:t>
            </w:r>
            <w:r>
              <w:rPr>
                <w:b/>
                <w:spacing w:val="-6"/>
                <w:sz w:val="16"/>
              </w:rPr>
              <w:t> </w:t>
            </w:r>
            <w:r>
              <w:rPr>
                <w:b/>
                <w:sz w:val="16"/>
              </w:rPr>
              <w:t>a</w:t>
            </w:r>
            <w:r>
              <w:rPr>
                <w:b/>
                <w:spacing w:val="-6"/>
                <w:sz w:val="16"/>
              </w:rPr>
              <w:t> </w:t>
            </w:r>
            <w:r>
              <w:rPr>
                <w:b/>
                <w:spacing w:val="-2"/>
                <w:sz w:val="16"/>
              </w:rPr>
              <w:t>1/1/2025</w:t>
            </w:r>
          </w:p>
        </w:tc>
      </w:tr>
      <w:tr>
        <w:trPr>
          <w:trHeight w:val="367" w:hRule="atLeast"/>
        </w:trPr>
        <w:tc>
          <w:tcPr>
            <w:tcW w:w="3045" w:type="dxa"/>
            <w:tcBorders>
              <w:bottom w:val="single" w:sz="8" w:space="0" w:color="000000"/>
            </w:tcBorders>
          </w:tcPr>
          <w:p>
            <w:pPr>
              <w:pStyle w:val="TableParagraph"/>
              <w:spacing w:before="91"/>
              <w:ind w:left="7" w:right="2"/>
              <w:jc w:val="center"/>
              <w:rPr>
                <w:b/>
                <w:sz w:val="16"/>
              </w:rPr>
            </w:pPr>
            <w:r>
              <w:rPr>
                <w:b/>
                <w:spacing w:val="-2"/>
                <w:sz w:val="16"/>
              </w:rPr>
              <w:t>Concepto</w:t>
            </w:r>
          </w:p>
        </w:tc>
        <w:tc>
          <w:tcPr>
            <w:tcW w:w="1198" w:type="dxa"/>
            <w:tcBorders>
              <w:top w:val="single" w:sz="8" w:space="0" w:color="000000"/>
              <w:bottom w:val="single" w:sz="8" w:space="0" w:color="000000"/>
            </w:tcBorders>
          </w:tcPr>
          <w:p>
            <w:pPr>
              <w:pStyle w:val="TableParagraph"/>
              <w:spacing w:before="91"/>
              <w:ind w:left="163"/>
              <w:rPr>
                <w:b/>
                <w:sz w:val="16"/>
              </w:rPr>
            </w:pPr>
            <w:r>
              <w:rPr>
                <w:b/>
                <w:spacing w:val="-2"/>
                <w:sz w:val="16"/>
              </w:rPr>
              <w:t>Actuaciones</w:t>
            </w:r>
          </w:p>
        </w:tc>
        <w:tc>
          <w:tcPr>
            <w:tcW w:w="1232" w:type="dxa"/>
            <w:tcBorders>
              <w:top w:val="single" w:sz="8" w:space="0" w:color="000000"/>
              <w:bottom w:val="single" w:sz="8" w:space="0" w:color="000000"/>
            </w:tcBorders>
          </w:tcPr>
          <w:p>
            <w:pPr>
              <w:pStyle w:val="TableParagraph"/>
              <w:spacing w:line="184" w:lineRule="exact"/>
              <w:ind w:left="189" w:right="253" w:hanging="69"/>
              <w:rPr>
                <w:b/>
                <w:sz w:val="16"/>
              </w:rPr>
            </w:pPr>
            <w:r>
              <w:rPr>
                <w:b/>
                <w:sz w:val="16"/>
              </w:rPr>
              <w:t>Otros</w:t>
            </w:r>
            <w:r>
              <w:rPr>
                <w:b/>
                <w:spacing w:val="-10"/>
                <w:sz w:val="16"/>
              </w:rPr>
              <w:t> </w:t>
            </w:r>
            <w:r>
              <w:rPr>
                <w:b/>
                <w:sz w:val="16"/>
              </w:rPr>
              <w:t>gastos</w:t>
            </w:r>
            <w:r>
              <w:rPr>
                <w:b/>
                <w:spacing w:val="40"/>
                <w:sz w:val="16"/>
              </w:rPr>
              <w:t> </w:t>
            </w:r>
            <w:r>
              <w:rPr>
                <w:b/>
                <w:spacing w:val="-2"/>
                <w:sz w:val="16"/>
              </w:rPr>
              <w:t>operativos</w:t>
            </w:r>
          </w:p>
        </w:tc>
        <w:tc>
          <w:tcPr>
            <w:tcW w:w="1166" w:type="dxa"/>
            <w:tcBorders>
              <w:top w:val="single" w:sz="8" w:space="0" w:color="000000"/>
              <w:bottom w:val="single" w:sz="8" w:space="0" w:color="000000"/>
            </w:tcBorders>
          </w:tcPr>
          <w:p>
            <w:pPr>
              <w:pStyle w:val="TableParagraph"/>
              <w:spacing w:line="184" w:lineRule="exact"/>
              <w:ind w:left="159" w:firstLine="146"/>
              <w:rPr>
                <w:b/>
                <w:sz w:val="16"/>
              </w:rPr>
            </w:pPr>
            <w:r>
              <w:rPr>
                <w:b/>
                <w:spacing w:val="-2"/>
                <w:sz w:val="16"/>
              </w:rPr>
              <w:t>Gastos</w:t>
            </w:r>
            <w:r>
              <w:rPr>
                <w:b/>
                <w:spacing w:val="40"/>
                <w:sz w:val="16"/>
              </w:rPr>
              <w:t> </w:t>
            </w:r>
            <w:r>
              <w:rPr>
                <w:b/>
                <w:spacing w:val="-2"/>
                <w:sz w:val="16"/>
              </w:rPr>
              <w:t>financieros</w:t>
            </w:r>
          </w:p>
        </w:tc>
        <w:tc>
          <w:tcPr>
            <w:tcW w:w="1255" w:type="dxa"/>
            <w:tcBorders>
              <w:bottom w:val="single" w:sz="8" w:space="0" w:color="000000"/>
            </w:tcBorders>
          </w:tcPr>
          <w:p>
            <w:pPr>
              <w:pStyle w:val="TableParagraph"/>
              <w:spacing w:line="152" w:lineRule="exact"/>
              <w:ind w:right="1"/>
              <w:jc w:val="center"/>
              <w:rPr>
                <w:b/>
                <w:sz w:val="16"/>
              </w:rPr>
            </w:pPr>
            <w:r>
              <w:rPr>
                <w:b/>
                <w:spacing w:val="-2"/>
                <w:sz w:val="16"/>
              </w:rPr>
              <w:t>Total</w:t>
            </w:r>
          </w:p>
        </w:tc>
      </w:tr>
      <w:tr>
        <w:trPr>
          <w:trHeight w:val="230" w:hRule="atLeast"/>
        </w:trPr>
        <w:tc>
          <w:tcPr>
            <w:tcW w:w="3045" w:type="dxa"/>
            <w:tcBorders>
              <w:top w:val="single" w:sz="8" w:space="0" w:color="000000"/>
            </w:tcBorders>
          </w:tcPr>
          <w:p>
            <w:pPr>
              <w:pStyle w:val="TableParagraph"/>
              <w:spacing w:before="21"/>
              <w:ind w:left="70"/>
              <w:rPr>
                <w:sz w:val="16"/>
              </w:rPr>
            </w:pPr>
            <w:r>
              <w:rPr>
                <w:sz w:val="16"/>
              </w:rPr>
              <w:t>Actuaciones</w:t>
            </w:r>
            <w:r>
              <w:rPr>
                <w:spacing w:val="-7"/>
                <w:sz w:val="16"/>
              </w:rPr>
              <w:t> </w:t>
            </w:r>
            <w:r>
              <w:rPr>
                <w:sz w:val="16"/>
              </w:rPr>
              <w:t>de</w:t>
            </w:r>
            <w:r>
              <w:rPr>
                <w:spacing w:val="-6"/>
                <w:sz w:val="16"/>
              </w:rPr>
              <w:t> </w:t>
            </w:r>
            <w:r>
              <w:rPr>
                <w:spacing w:val="-2"/>
                <w:sz w:val="16"/>
              </w:rPr>
              <w:t>integración</w:t>
            </w:r>
          </w:p>
        </w:tc>
        <w:tc>
          <w:tcPr>
            <w:tcW w:w="1198" w:type="dxa"/>
            <w:tcBorders>
              <w:top w:val="single" w:sz="8" w:space="0" w:color="000000"/>
            </w:tcBorders>
          </w:tcPr>
          <w:p>
            <w:pPr>
              <w:pStyle w:val="TableParagraph"/>
              <w:rPr>
                <w:sz w:val="16"/>
              </w:rPr>
            </w:pPr>
          </w:p>
        </w:tc>
        <w:tc>
          <w:tcPr>
            <w:tcW w:w="1232" w:type="dxa"/>
            <w:tcBorders>
              <w:top w:val="single" w:sz="8" w:space="0" w:color="000000"/>
            </w:tcBorders>
          </w:tcPr>
          <w:p>
            <w:pPr>
              <w:pStyle w:val="TableParagraph"/>
              <w:rPr>
                <w:sz w:val="16"/>
              </w:rPr>
            </w:pPr>
          </w:p>
        </w:tc>
        <w:tc>
          <w:tcPr>
            <w:tcW w:w="1166" w:type="dxa"/>
            <w:tcBorders>
              <w:top w:val="single" w:sz="8" w:space="0" w:color="000000"/>
            </w:tcBorders>
          </w:tcPr>
          <w:p>
            <w:pPr>
              <w:pStyle w:val="TableParagraph"/>
              <w:rPr>
                <w:sz w:val="16"/>
              </w:rPr>
            </w:pPr>
          </w:p>
        </w:tc>
        <w:tc>
          <w:tcPr>
            <w:tcW w:w="1255" w:type="dxa"/>
            <w:tcBorders>
              <w:top w:val="single" w:sz="8" w:space="0" w:color="000000"/>
            </w:tcBorders>
          </w:tcPr>
          <w:p>
            <w:pPr>
              <w:pStyle w:val="TableParagraph"/>
              <w:rPr>
                <w:sz w:val="16"/>
              </w:rPr>
            </w:pPr>
          </w:p>
        </w:tc>
      </w:tr>
      <w:tr>
        <w:trPr>
          <w:trHeight w:val="226" w:hRule="atLeast"/>
        </w:trPr>
        <w:tc>
          <w:tcPr>
            <w:tcW w:w="3045" w:type="dxa"/>
          </w:tcPr>
          <w:p>
            <w:pPr>
              <w:pStyle w:val="TableParagraph"/>
              <w:spacing w:before="18"/>
              <w:ind w:left="230"/>
              <w:rPr>
                <w:sz w:val="16"/>
              </w:rPr>
            </w:pPr>
            <w:r>
              <w:rPr>
                <w:sz w:val="16"/>
              </w:rPr>
              <w:t>Proyectos</w:t>
            </w:r>
            <w:r>
              <w:rPr>
                <w:spacing w:val="-8"/>
                <w:sz w:val="16"/>
              </w:rPr>
              <w:t> </w:t>
            </w:r>
            <w:r>
              <w:rPr>
                <w:spacing w:val="-2"/>
                <w:sz w:val="16"/>
              </w:rPr>
              <w:t>ferroviarios</w:t>
            </w:r>
          </w:p>
        </w:tc>
        <w:tc>
          <w:tcPr>
            <w:tcW w:w="1198" w:type="dxa"/>
          </w:tcPr>
          <w:p>
            <w:pPr>
              <w:pStyle w:val="TableParagraph"/>
              <w:spacing w:before="18"/>
              <w:ind w:right="119"/>
              <w:jc w:val="right"/>
              <w:rPr>
                <w:sz w:val="16"/>
              </w:rPr>
            </w:pPr>
            <w:r>
              <w:rPr>
                <w:spacing w:val="-2"/>
                <w:sz w:val="16"/>
              </w:rPr>
              <w:t>4.959.549,86</w:t>
            </w:r>
          </w:p>
        </w:tc>
        <w:tc>
          <w:tcPr>
            <w:tcW w:w="1232" w:type="dxa"/>
          </w:tcPr>
          <w:p>
            <w:pPr>
              <w:pStyle w:val="TableParagraph"/>
              <w:spacing w:before="18"/>
              <w:ind w:right="158"/>
              <w:jc w:val="right"/>
              <w:rPr>
                <w:sz w:val="16"/>
              </w:rPr>
            </w:pPr>
            <w:r>
              <w:rPr>
                <w:spacing w:val="-2"/>
                <w:sz w:val="16"/>
              </w:rPr>
              <w:t>59.346,01</w:t>
            </w:r>
          </w:p>
        </w:tc>
        <w:tc>
          <w:tcPr>
            <w:tcW w:w="1166" w:type="dxa"/>
          </w:tcPr>
          <w:p>
            <w:pPr>
              <w:pStyle w:val="TableParagraph"/>
              <w:spacing w:before="18"/>
              <w:ind w:right="69"/>
              <w:jc w:val="right"/>
              <w:rPr>
                <w:sz w:val="16"/>
              </w:rPr>
            </w:pPr>
            <w:r>
              <w:rPr>
                <w:spacing w:val="-2"/>
                <w:sz w:val="16"/>
              </w:rPr>
              <w:t>21.992,90</w:t>
            </w:r>
          </w:p>
        </w:tc>
        <w:tc>
          <w:tcPr>
            <w:tcW w:w="1255" w:type="dxa"/>
          </w:tcPr>
          <w:p>
            <w:pPr>
              <w:pStyle w:val="TableParagraph"/>
              <w:spacing w:before="18"/>
              <w:ind w:right="67"/>
              <w:jc w:val="right"/>
              <w:rPr>
                <w:b/>
                <w:sz w:val="16"/>
              </w:rPr>
            </w:pPr>
            <w:r>
              <w:rPr>
                <w:b/>
                <w:spacing w:val="-2"/>
                <w:sz w:val="16"/>
              </w:rPr>
              <w:t>5.040.888,77</w:t>
            </w:r>
          </w:p>
        </w:tc>
      </w:tr>
      <w:tr>
        <w:trPr>
          <w:trHeight w:val="226" w:hRule="atLeast"/>
        </w:trPr>
        <w:tc>
          <w:tcPr>
            <w:tcW w:w="3045" w:type="dxa"/>
          </w:tcPr>
          <w:p>
            <w:pPr>
              <w:pStyle w:val="TableParagraph"/>
              <w:spacing w:before="18"/>
              <w:ind w:left="230"/>
              <w:rPr>
                <w:sz w:val="16"/>
              </w:rPr>
            </w:pPr>
            <w:r>
              <w:rPr>
                <w:sz w:val="16"/>
              </w:rPr>
              <w:t>Obra</w:t>
            </w:r>
            <w:r>
              <w:rPr>
                <w:spacing w:val="-5"/>
                <w:sz w:val="16"/>
              </w:rPr>
              <w:t> </w:t>
            </w:r>
            <w:r>
              <w:rPr>
                <w:sz w:val="16"/>
              </w:rPr>
              <w:t>Fases</w:t>
            </w:r>
            <w:r>
              <w:rPr>
                <w:spacing w:val="-3"/>
                <w:sz w:val="16"/>
              </w:rPr>
              <w:t> </w:t>
            </w:r>
            <w:r>
              <w:rPr>
                <w:sz w:val="16"/>
              </w:rPr>
              <w:t>1</w:t>
            </w:r>
            <w:r>
              <w:rPr>
                <w:spacing w:val="-4"/>
                <w:sz w:val="16"/>
              </w:rPr>
              <w:t> </w:t>
            </w:r>
            <w:r>
              <w:rPr>
                <w:sz w:val="16"/>
              </w:rPr>
              <w:t>y</w:t>
            </w:r>
            <w:r>
              <w:rPr>
                <w:spacing w:val="-3"/>
                <w:sz w:val="16"/>
              </w:rPr>
              <w:t> </w:t>
            </w:r>
            <w:r>
              <w:rPr>
                <w:spacing w:val="-10"/>
                <w:sz w:val="16"/>
              </w:rPr>
              <w:t>2</w:t>
            </w:r>
          </w:p>
        </w:tc>
        <w:tc>
          <w:tcPr>
            <w:tcW w:w="1198" w:type="dxa"/>
          </w:tcPr>
          <w:p>
            <w:pPr>
              <w:pStyle w:val="TableParagraph"/>
              <w:spacing w:before="18"/>
              <w:ind w:right="119"/>
              <w:jc w:val="right"/>
              <w:rPr>
                <w:sz w:val="16"/>
              </w:rPr>
            </w:pPr>
            <w:r>
              <w:rPr>
                <w:spacing w:val="-2"/>
                <w:sz w:val="16"/>
              </w:rPr>
              <w:t>236.129.259,58</w:t>
            </w:r>
          </w:p>
        </w:tc>
        <w:tc>
          <w:tcPr>
            <w:tcW w:w="1232" w:type="dxa"/>
          </w:tcPr>
          <w:p>
            <w:pPr>
              <w:pStyle w:val="TableParagraph"/>
              <w:spacing w:before="18"/>
              <w:ind w:right="158"/>
              <w:jc w:val="right"/>
              <w:rPr>
                <w:sz w:val="16"/>
              </w:rPr>
            </w:pPr>
            <w:r>
              <w:rPr>
                <w:spacing w:val="-2"/>
                <w:sz w:val="16"/>
              </w:rPr>
              <w:t>2.552.980,95</w:t>
            </w:r>
          </w:p>
        </w:tc>
        <w:tc>
          <w:tcPr>
            <w:tcW w:w="1166" w:type="dxa"/>
          </w:tcPr>
          <w:p>
            <w:pPr>
              <w:pStyle w:val="TableParagraph"/>
              <w:spacing w:before="18"/>
              <w:ind w:right="69"/>
              <w:jc w:val="right"/>
              <w:rPr>
                <w:sz w:val="16"/>
              </w:rPr>
            </w:pPr>
            <w:r>
              <w:rPr>
                <w:spacing w:val="-2"/>
                <w:sz w:val="16"/>
              </w:rPr>
              <w:t>882.711,02</w:t>
            </w:r>
          </w:p>
        </w:tc>
        <w:tc>
          <w:tcPr>
            <w:tcW w:w="1255" w:type="dxa"/>
          </w:tcPr>
          <w:p>
            <w:pPr>
              <w:pStyle w:val="TableParagraph"/>
              <w:spacing w:before="18"/>
              <w:ind w:right="68"/>
              <w:jc w:val="right"/>
              <w:rPr>
                <w:b/>
                <w:sz w:val="16"/>
              </w:rPr>
            </w:pPr>
            <w:r>
              <w:rPr>
                <w:b/>
                <w:spacing w:val="-2"/>
                <w:sz w:val="16"/>
              </w:rPr>
              <w:t>239.564.951,55</w:t>
            </w:r>
          </w:p>
        </w:tc>
      </w:tr>
      <w:tr>
        <w:trPr>
          <w:trHeight w:val="226" w:hRule="atLeast"/>
        </w:trPr>
        <w:tc>
          <w:tcPr>
            <w:tcW w:w="3045" w:type="dxa"/>
          </w:tcPr>
          <w:p>
            <w:pPr>
              <w:pStyle w:val="TableParagraph"/>
              <w:spacing w:before="18"/>
              <w:ind w:right="290"/>
              <w:jc w:val="right"/>
              <w:rPr>
                <w:sz w:val="16"/>
              </w:rPr>
            </w:pPr>
            <w:r>
              <w:rPr>
                <w:sz w:val="16"/>
              </w:rPr>
              <w:t>Intermodalidad</w:t>
            </w:r>
            <w:r>
              <w:rPr>
                <w:spacing w:val="-5"/>
                <w:sz w:val="16"/>
              </w:rPr>
              <w:t> </w:t>
            </w:r>
            <w:r>
              <w:rPr>
                <w:sz w:val="16"/>
              </w:rPr>
              <w:t>-</w:t>
            </w:r>
            <w:r>
              <w:rPr>
                <w:spacing w:val="-5"/>
                <w:sz w:val="16"/>
              </w:rPr>
              <w:t> </w:t>
            </w:r>
            <w:r>
              <w:rPr>
                <w:sz w:val="16"/>
              </w:rPr>
              <w:t>Estación</w:t>
            </w:r>
            <w:r>
              <w:rPr>
                <w:spacing w:val="-4"/>
                <w:sz w:val="16"/>
              </w:rPr>
              <w:t> </w:t>
            </w:r>
            <w:r>
              <w:rPr>
                <w:sz w:val="16"/>
              </w:rPr>
              <w:t>de</w:t>
            </w:r>
            <w:r>
              <w:rPr>
                <w:spacing w:val="-6"/>
                <w:sz w:val="16"/>
              </w:rPr>
              <w:t> </w:t>
            </w:r>
            <w:r>
              <w:rPr>
                <w:spacing w:val="-2"/>
                <w:sz w:val="16"/>
              </w:rPr>
              <w:t>autobuses</w:t>
            </w:r>
          </w:p>
        </w:tc>
        <w:tc>
          <w:tcPr>
            <w:tcW w:w="1198" w:type="dxa"/>
          </w:tcPr>
          <w:p>
            <w:pPr>
              <w:pStyle w:val="TableParagraph"/>
              <w:spacing w:before="18"/>
              <w:ind w:right="119"/>
              <w:jc w:val="right"/>
              <w:rPr>
                <w:sz w:val="16"/>
              </w:rPr>
            </w:pPr>
            <w:r>
              <w:rPr>
                <w:spacing w:val="-2"/>
                <w:sz w:val="16"/>
              </w:rPr>
              <w:t>85.910,00</w:t>
            </w:r>
          </w:p>
        </w:tc>
        <w:tc>
          <w:tcPr>
            <w:tcW w:w="1232" w:type="dxa"/>
          </w:tcPr>
          <w:p>
            <w:pPr>
              <w:pStyle w:val="TableParagraph"/>
              <w:spacing w:before="18"/>
              <w:ind w:right="159"/>
              <w:jc w:val="right"/>
              <w:rPr>
                <w:sz w:val="16"/>
              </w:rPr>
            </w:pPr>
            <w:r>
              <w:rPr>
                <w:spacing w:val="-2"/>
                <w:sz w:val="16"/>
              </w:rPr>
              <w:t>427,82</w:t>
            </w:r>
          </w:p>
        </w:tc>
        <w:tc>
          <w:tcPr>
            <w:tcW w:w="1166" w:type="dxa"/>
          </w:tcPr>
          <w:p>
            <w:pPr>
              <w:pStyle w:val="TableParagraph"/>
              <w:spacing w:before="18"/>
              <w:ind w:right="69"/>
              <w:jc w:val="right"/>
              <w:rPr>
                <w:sz w:val="16"/>
              </w:rPr>
            </w:pPr>
            <w:r>
              <w:rPr>
                <w:spacing w:val="-2"/>
                <w:sz w:val="16"/>
              </w:rPr>
              <w:t>18,15</w:t>
            </w:r>
          </w:p>
        </w:tc>
        <w:tc>
          <w:tcPr>
            <w:tcW w:w="1255" w:type="dxa"/>
          </w:tcPr>
          <w:p>
            <w:pPr>
              <w:pStyle w:val="TableParagraph"/>
              <w:spacing w:before="18"/>
              <w:ind w:right="67"/>
              <w:jc w:val="right"/>
              <w:rPr>
                <w:b/>
                <w:sz w:val="16"/>
              </w:rPr>
            </w:pPr>
            <w:r>
              <w:rPr>
                <w:b/>
                <w:spacing w:val="-2"/>
                <w:sz w:val="16"/>
              </w:rPr>
              <w:t>86.355,97</w:t>
            </w:r>
          </w:p>
        </w:tc>
      </w:tr>
      <w:tr>
        <w:trPr>
          <w:trHeight w:val="227" w:hRule="atLeast"/>
        </w:trPr>
        <w:tc>
          <w:tcPr>
            <w:tcW w:w="3045" w:type="dxa"/>
          </w:tcPr>
          <w:p>
            <w:pPr>
              <w:pStyle w:val="TableParagraph"/>
              <w:spacing w:before="18"/>
              <w:ind w:left="230"/>
              <w:rPr>
                <w:sz w:val="16"/>
              </w:rPr>
            </w:pPr>
            <w:r>
              <w:rPr>
                <w:sz w:val="16"/>
              </w:rPr>
              <w:t>Aparcamiento</w:t>
            </w:r>
            <w:r>
              <w:rPr>
                <w:spacing w:val="-8"/>
                <w:sz w:val="16"/>
              </w:rPr>
              <w:t> </w:t>
            </w:r>
            <w:r>
              <w:rPr>
                <w:sz w:val="16"/>
              </w:rPr>
              <w:t>estación</w:t>
            </w:r>
            <w:r>
              <w:rPr>
                <w:spacing w:val="-8"/>
                <w:sz w:val="16"/>
              </w:rPr>
              <w:t> </w:t>
            </w:r>
            <w:r>
              <w:rPr>
                <w:spacing w:val="-2"/>
                <w:sz w:val="16"/>
              </w:rPr>
              <w:t>intermodal</w:t>
            </w:r>
          </w:p>
        </w:tc>
        <w:tc>
          <w:tcPr>
            <w:tcW w:w="1198" w:type="dxa"/>
          </w:tcPr>
          <w:p>
            <w:pPr>
              <w:pStyle w:val="TableParagraph"/>
              <w:spacing w:before="18"/>
              <w:ind w:right="119"/>
              <w:jc w:val="right"/>
              <w:rPr>
                <w:sz w:val="16"/>
              </w:rPr>
            </w:pPr>
            <w:r>
              <w:rPr>
                <w:spacing w:val="-2"/>
                <w:sz w:val="16"/>
              </w:rPr>
              <w:t>10.500,00</w:t>
            </w:r>
          </w:p>
        </w:tc>
        <w:tc>
          <w:tcPr>
            <w:tcW w:w="1232" w:type="dxa"/>
          </w:tcPr>
          <w:p>
            <w:pPr>
              <w:pStyle w:val="TableParagraph"/>
              <w:spacing w:before="18"/>
              <w:ind w:right="159"/>
              <w:jc w:val="right"/>
              <w:rPr>
                <w:sz w:val="16"/>
              </w:rPr>
            </w:pPr>
            <w:r>
              <w:rPr>
                <w:spacing w:val="-2"/>
                <w:sz w:val="16"/>
              </w:rPr>
              <w:t>122,46</w:t>
            </w:r>
          </w:p>
        </w:tc>
        <w:tc>
          <w:tcPr>
            <w:tcW w:w="1166" w:type="dxa"/>
          </w:tcPr>
          <w:p>
            <w:pPr>
              <w:pStyle w:val="TableParagraph"/>
              <w:spacing w:before="18"/>
              <w:ind w:right="69"/>
              <w:jc w:val="right"/>
              <w:rPr>
                <w:sz w:val="16"/>
              </w:rPr>
            </w:pPr>
            <w:r>
              <w:rPr>
                <w:spacing w:val="-2"/>
                <w:sz w:val="16"/>
              </w:rPr>
              <w:t>45,38</w:t>
            </w:r>
          </w:p>
        </w:tc>
        <w:tc>
          <w:tcPr>
            <w:tcW w:w="1255" w:type="dxa"/>
          </w:tcPr>
          <w:p>
            <w:pPr>
              <w:pStyle w:val="TableParagraph"/>
              <w:spacing w:before="18"/>
              <w:ind w:right="67"/>
              <w:jc w:val="right"/>
              <w:rPr>
                <w:b/>
                <w:sz w:val="16"/>
              </w:rPr>
            </w:pPr>
            <w:r>
              <w:rPr>
                <w:b/>
                <w:spacing w:val="-2"/>
                <w:sz w:val="16"/>
              </w:rPr>
              <w:t>10.667,84</w:t>
            </w:r>
          </w:p>
        </w:tc>
      </w:tr>
      <w:tr>
        <w:trPr>
          <w:trHeight w:val="223" w:hRule="atLeast"/>
        </w:trPr>
        <w:tc>
          <w:tcPr>
            <w:tcW w:w="3045" w:type="dxa"/>
          </w:tcPr>
          <w:p>
            <w:pPr>
              <w:pStyle w:val="TableParagraph"/>
              <w:spacing w:before="18"/>
              <w:ind w:left="70"/>
              <w:rPr>
                <w:sz w:val="16"/>
              </w:rPr>
            </w:pPr>
            <w:r>
              <w:rPr>
                <w:spacing w:val="-2"/>
                <w:sz w:val="16"/>
              </w:rPr>
              <w:t>Actuaciones</w:t>
            </w:r>
            <w:r>
              <w:rPr>
                <w:spacing w:val="11"/>
                <w:sz w:val="16"/>
              </w:rPr>
              <w:t> </w:t>
            </w:r>
            <w:r>
              <w:rPr>
                <w:spacing w:val="-2"/>
                <w:sz w:val="16"/>
              </w:rPr>
              <w:t>urbanísticas-</w:t>
            </w:r>
            <w:r>
              <w:rPr>
                <w:spacing w:val="12"/>
                <w:sz w:val="16"/>
              </w:rPr>
              <w:t> </w:t>
            </w:r>
            <w:r>
              <w:rPr>
                <w:spacing w:val="-2"/>
                <w:sz w:val="16"/>
              </w:rPr>
              <w:t>Proyectos</w:t>
            </w:r>
          </w:p>
        </w:tc>
        <w:tc>
          <w:tcPr>
            <w:tcW w:w="1198" w:type="dxa"/>
            <w:tcBorders>
              <w:bottom w:val="single" w:sz="8" w:space="0" w:color="000000"/>
            </w:tcBorders>
          </w:tcPr>
          <w:p>
            <w:pPr>
              <w:pStyle w:val="TableParagraph"/>
              <w:spacing w:before="18"/>
              <w:ind w:right="119"/>
              <w:jc w:val="right"/>
              <w:rPr>
                <w:sz w:val="16"/>
              </w:rPr>
            </w:pPr>
            <w:r>
              <w:rPr>
                <w:spacing w:val="-2"/>
                <w:sz w:val="16"/>
              </w:rPr>
              <w:t>727.359,18</w:t>
            </w:r>
          </w:p>
        </w:tc>
        <w:tc>
          <w:tcPr>
            <w:tcW w:w="1232" w:type="dxa"/>
            <w:tcBorders>
              <w:bottom w:val="single" w:sz="8" w:space="0" w:color="000000"/>
            </w:tcBorders>
          </w:tcPr>
          <w:p>
            <w:pPr>
              <w:pStyle w:val="TableParagraph"/>
              <w:spacing w:before="18"/>
              <w:ind w:right="159"/>
              <w:jc w:val="right"/>
              <w:rPr>
                <w:sz w:val="16"/>
              </w:rPr>
            </w:pPr>
            <w:r>
              <w:rPr>
                <w:spacing w:val="-2"/>
                <w:sz w:val="16"/>
              </w:rPr>
              <w:t>8.174,33</w:t>
            </w:r>
          </w:p>
        </w:tc>
        <w:tc>
          <w:tcPr>
            <w:tcW w:w="1166" w:type="dxa"/>
            <w:tcBorders>
              <w:bottom w:val="single" w:sz="8" w:space="0" w:color="000000"/>
            </w:tcBorders>
          </w:tcPr>
          <w:p>
            <w:pPr>
              <w:pStyle w:val="TableParagraph"/>
              <w:spacing w:before="18"/>
              <w:ind w:right="69"/>
              <w:jc w:val="right"/>
              <w:rPr>
                <w:sz w:val="16"/>
              </w:rPr>
            </w:pPr>
            <w:r>
              <w:rPr>
                <w:spacing w:val="-2"/>
                <w:sz w:val="16"/>
              </w:rPr>
              <w:t>2.904,55</w:t>
            </w:r>
          </w:p>
        </w:tc>
        <w:tc>
          <w:tcPr>
            <w:tcW w:w="1255" w:type="dxa"/>
            <w:tcBorders>
              <w:bottom w:val="single" w:sz="8" w:space="0" w:color="000000"/>
            </w:tcBorders>
          </w:tcPr>
          <w:p>
            <w:pPr>
              <w:pStyle w:val="TableParagraph"/>
              <w:spacing w:before="18"/>
              <w:ind w:right="67"/>
              <w:jc w:val="right"/>
              <w:rPr>
                <w:b/>
                <w:sz w:val="16"/>
              </w:rPr>
            </w:pPr>
            <w:r>
              <w:rPr>
                <w:b/>
                <w:spacing w:val="-2"/>
                <w:sz w:val="16"/>
              </w:rPr>
              <w:t>738.438,06</w:t>
            </w:r>
          </w:p>
        </w:tc>
      </w:tr>
      <w:tr>
        <w:trPr>
          <w:trHeight w:val="343" w:hRule="atLeast"/>
        </w:trPr>
        <w:tc>
          <w:tcPr>
            <w:tcW w:w="3045" w:type="dxa"/>
          </w:tcPr>
          <w:p>
            <w:pPr>
              <w:pStyle w:val="TableParagraph"/>
              <w:spacing w:before="20"/>
              <w:ind w:left="7"/>
              <w:jc w:val="center"/>
              <w:rPr>
                <w:b/>
                <w:sz w:val="16"/>
              </w:rPr>
            </w:pPr>
            <w:r>
              <w:rPr>
                <w:b/>
                <w:spacing w:val="-2"/>
                <w:sz w:val="16"/>
              </w:rPr>
              <w:t>Total</w:t>
            </w:r>
          </w:p>
        </w:tc>
        <w:tc>
          <w:tcPr>
            <w:tcW w:w="1198" w:type="dxa"/>
            <w:tcBorders>
              <w:top w:val="single" w:sz="8" w:space="0" w:color="000000"/>
            </w:tcBorders>
          </w:tcPr>
          <w:p>
            <w:pPr>
              <w:pStyle w:val="TableParagraph"/>
              <w:spacing w:before="20"/>
              <w:ind w:right="119"/>
              <w:jc w:val="right"/>
              <w:rPr>
                <w:b/>
                <w:sz w:val="16"/>
              </w:rPr>
            </w:pPr>
            <w:r>
              <w:rPr>
                <w:b/>
                <w:spacing w:val="-2"/>
                <w:sz w:val="16"/>
              </w:rPr>
              <w:t>241.912.578,62</w:t>
            </w:r>
          </w:p>
        </w:tc>
        <w:tc>
          <w:tcPr>
            <w:tcW w:w="1232" w:type="dxa"/>
            <w:tcBorders>
              <w:top w:val="single" w:sz="8" w:space="0" w:color="000000"/>
            </w:tcBorders>
          </w:tcPr>
          <w:p>
            <w:pPr>
              <w:pStyle w:val="TableParagraph"/>
              <w:spacing w:before="20"/>
              <w:ind w:right="158"/>
              <w:jc w:val="right"/>
              <w:rPr>
                <w:b/>
                <w:sz w:val="16"/>
              </w:rPr>
            </w:pPr>
            <w:r>
              <w:rPr>
                <w:b/>
                <w:spacing w:val="-2"/>
                <w:sz w:val="16"/>
              </w:rPr>
              <w:t>2.621.051,57</w:t>
            </w:r>
          </w:p>
        </w:tc>
        <w:tc>
          <w:tcPr>
            <w:tcW w:w="1166" w:type="dxa"/>
            <w:tcBorders>
              <w:top w:val="single" w:sz="8" w:space="0" w:color="000000"/>
            </w:tcBorders>
          </w:tcPr>
          <w:p>
            <w:pPr>
              <w:pStyle w:val="TableParagraph"/>
              <w:spacing w:before="20"/>
              <w:ind w:right="69"/>
              <w:jc w:val="right"/>
              <w:rPr>
                <w:b/>
                <w:sz w:val="16"/>
              </w:rPr>
            </w:pPr>
            <w:r>
              <w:rPr>
                <w:b/>
                <w:spacing w:val="-2"/>
                <w:sz w:val="16"/>
              </w:rPr>
              <w:t>907.672,00</w:t>
            </w:r>
          </w:p>
        </w:tc>
        <w:tc>
          <w:tcPr>
            <w:tcW w:w="1255" w:type="dxa"/>
            <w:tcBorders>
              <w:top w:val="single" w:sz="8" w:space="0" w:color="000000"/>
            </w:tcBorders>
          </w:tcPr>
          <w:p>
            <w:pPr>
              <w:pStyle w:val="TableParagraph"/>
              <w:spacing w:before="20"/>
              <w:ind w:right="68"/>
              <w:jc w:val="right"/>
              <w:rPr>
                <w:b/>
                <w:sz w:val="16"/>
              </w:rPr>
            </w:pPr>
            <w:r>
              <w:rPr>
                <w:b/>
                <w:spacing w:val="-2"/>
                <w:sz w:val="16"/>
              </w:rPr>
              <w:t>245.441.302,19</w:t>
            </w:r>
          </w:p>
        </w:tc>
      </w:tr>
      <w:tr>
        <w:trPr>
          <w:trHeight w:val="337" w:hRule="atLeast"/>
        </w:trPr>
        <w:tc>
          <w:tcPr>
            <w:tcW w:w="7896" w:type="dxa"/>
            <w:gridSpan w:val="5"/>
          </w:tcPr>
          <w:p>
            <w:pPr>
              <w:pStyle w:val="TableParagraph"/>
              <w:spacing w:before="132"/>
              <w:ind w:left="3665"/>
              <w:rPr>
                <w:b/>
                <w:sz w:val="16"/>
              </w:rPr>
            </w:pPr>
            <w:r>
              <w:rPr>
                <w:b/>
                <w:sz w:val="16"/>
              </w:rPr>
              <w:t>Adiciones/</w:t>
            </w:r>
            <w:r>
              <w:rPr>
                <w:b/>
                <w:spacing w:val="-8"/>
                <w:sz w:val="16"/>
              </w:rPr>
              <w:t> </w:t>
            </w:r>
            <w:r>
              <w:rPr>
                <w:b/>
                <w:sz w:val="16"/>
              </w:rPr>
              <w:t>(Salidas)</w:t>
            </w:r>
            <w:r>
              <w:rPr>
                <w:b/>
                <w:spacing w:val="-6"/>
                <w:sz w:val="16"/>
              </w:rPr>
              <w:t> </w:t>
            </w:r>
            <w:r>
              <w:rPr>
                <w:b/>
                <w:sz w:val="16"/>
              </w:rPr>
              <w:t>Ejercicio</w:t>
            </w:r>
            <w:r>
              <w:rPr>
                <w:b/>
                <w:spacing w:val="-8"/>
                <w:sz w:val="16"/>
              </w:rPr>
              <w:t> </w:t>
            </w:r>
            <w:r>
              <w:rPr>
                <w:b/>
                <w:spacing w:val="-4"/>
                <w:sz w:val="16"/>
              </w:rPr>
              <w:t>2025</w:t>
            </w:r>
          </w:p>
        </w:tc>
      </w:tr>
      <w:tr>
        <w:trPr>
          <w:trHeight w:val="367" w:hRule="atLeast"/>
        </w:trPr>
        <w:tc>
          <w:tcPr>
            <w:tcW w:w="3045" w:type="dxa"/>
            <w:tcBorders>
              <w:bottom w:val="single" w:sz="8" w:space="0" w:color="000000"/>
            </w:tcBorders>
          </w:tcPr>
          <w:p>
            <w:pPr>
              <w:pStyle w:val="TableParagraph"/>
              <w:spacing w:before="91"/>
              <w:ind w:left="7" w:right="2"/>
              <w:jc w:val="center"/>
              <w:rPr>
                <w:b/>
                <w:sz w:val="16"/>
              </w:rPr>
            </w:pPr>
            <w:r>
              <w:rPr>
                <w:b/>
                <w:spacing w:val="-2"/>
                <w:sz w:val="16"/>
              </w:rPr>
              <w:t>Concepto</w:t>
            </w:r>
          </w:p>
        </w:tc>
        <w:tc>
          <w:tcPr>
            <w:tcW w:w="1198" w:type="dxa"/>
            <w:tcBorders>
              <w:top w:val="single" w:sz="8" w:space="0" w:color="000000"/>
              <w:bottom w:val="single" w:sz="8" w:space="0" w:color="000000"/>
            </w:tcBorders>
          </w:tcPr>
          <w:p>
            <w:pPr>
              <w:pStyle w:val="TableParagraph"/>
              <w:spacing w:before="91"/>
              <w:ind w:left="163"/>
              <w:rPr>
                <w:b/>
                <w:sz w:val="16"/>
              </w:rPr>
            </w:pPr>
            <w:r>
              <w:rPr>
                <w:b/>
                <w:spacing w:val="-2"/>
                <w:sz w:val="16"/>
              </w:rPr>
              <w:t>Actuaciones</w:t>
            </w:r>
          </w:p>
        </w:tc>
        <w:tc>
          <w:tcPr>
            <w:tcW w:w="1232" w:type="dxa"/>
            <w:tcBorders>
              <w:top w:val="single" w:sz="8" w:space="0" w:color="000000"/>
              <w:bottom w:val="single" w:sz="8" w:space="0" w:color="000000"/>
            </w:tcBorders>
          </w:tcPr>
          <w:p>
            <w:pPr>
              <w:pStyle w:val="TableParagraph"/>
              <w:spacing w:line="184" w:lineRule="exact"/>
              <w:ind w:left="189" w:right="253" w:hanging="69"/>
              <w:rPr>
                <w:b/>
                <w:sz w:val="16"/>
              </w:rPr>
            </w:pPr>
            <w:r>
              <w:rPr>
                <w:b/>
                <w:sz w:val="16"/>
              </w:rPr>
              <w:t>Otros</w:t>
            </w:r>
            <w:r>
              <w:rPr>
                <w:b/>
                <w:spacing w:val="-10"/>
                <w:sz w:val="16"/>
              </w:rPr>
              <w:t> </w:t>
            </w:r>
            <w:r>
              <w:rPr>
                <w:b/>
                <w:sz w:val="16"/>
              </w:rPr>
              <w:t>gastos</w:t>
            </w:r>
            <w:r>
              <w:rPr>
                <w:b/>
                <w:spacing w:val="40"/>
                <w:sz w:val="16"/>
              </w:rPr>
              <w:t> </w:t>
            </w:r>
            <w:r>
              <w:rPr>
                <w:b/>
                <w:spacing w:val="-2"/>
                <w:sz w:val="16"/>
              </w:rPr>
              <w:t>operativos</w:t>
            </w:r>
          </w:p>
        </w:tc>
        <w:tc>
          <w:tcPr>
            <w:tcW w:w="1166" w:type="dxa"/>
            <w:tcBorders>
              <w:top w:val="single" w:sz="8" w:space="0" w:color="000000"/>
              <w:bottom w:val="single" w:sz="8" w:space="0" w:color="000000"/>
            </w:tcBorders>
          </w:tcPr>
          <w:p>
            <w:pPr>
              <w:pStyle w:val="TableParagraph"/>
              <w:spacing w:line="184" w:lineRule="exact"/>
              <w:ind w:left="159" w:firstLine="146"/>
              <w:rPr>
                <w:b/>
                <w:sz w:val="16"/>
              </w:rPr>
            </w:pPr>
            <w:r>
              <w:rPr>
                <w:b/>
                <w:spacing w:val="-2"/>
                <w:sz w:val="16"/>
              </w:rPr>
              <w:t>Gastos</w:t>
            </w:r>
            <w:r>
              <w:rPr>
                <w:b/>
                <w:spacing w:val="40"/>
                <w:sz w:val="16"/>
              </w:rPr>
              <w:t> </w:t>
            </w:r>
            <w:r>
              <w:rPr>
                <w:b/>
                <w:spacing w:val="-2"/>
                <w:sz w:val="16"/>
              </w:rPr>
              <w:t>financieros</w:t>
            </w:r>
          </w:p>
        </w:tc>
        <w:tc>
          <w:tcPr>
            <w:tcW w:w="1255" w:type="dxa"/>
            <w:tcBorders>
              <w:bottom w:val="single" w:sz="8" w:space="0" w:color="000000"/>
            </w:tcBorders>
          </w:tcPr>
          <w:p>
            <w:pPr>
              <w:pStyle w:val="TableParagraph"/>
              <w:spacing w:line="152" w:lineRule="exact"/>
              <w:ind w:right="1"/>
              <w:jc w:val="center"/>
              <w:rPr>
                <w:b/>
                <w:sz w:val="16"/>
              </w:rPr>
            </w:pPr>
            <w:r>
              <w:rPr>
                <w:b/>
                <w:spacing w:val="-2"/>
                <w:sz w:val="16"/>
              </w:rPr>
              <w:t>Total</w:t>
            </w:r>
          </w:p>
        </w:tc>
      </w:tr>
      <w:tr>
        <w:trPr>
          <w:trHeight w:val="230" w:hRule="atLeast"/>
        </w:trPr>
        <w:tc>
          <w:tcPr>
            <w:tcW w:w="3045" w:type="dxa"/>
            <w:tcBorders>
              <w:top w:val="single" w:sz="8" w:space="0" w:color="000000"/>
            </w:tcBorders>
          </w:tcPr>
          <w:p>
            <w:pPr>
              <w:pStyle w:val="TableParagraph"/>
              <w:spacing w:before="21"/>
              <w:ind w:left="70"/>
              <w:rPr>
                <w:sz w:val="16"/>
              </w:rPr>
            </w:pPr>
            <w:r>
              <w:rPr>
                <w:sz w:val="16"/>
              </w:rPr>
              <w:t>Actuaciones</w:t>
            </w:r>
            <w:r>
              <w:rPr>
                <w:spacing w:val="-7"/>
                <w:sz w:val="16"/>
              </w:rPr>
              <w:t> </w:t>
            </w:r>
            <w:r>
              <w:rPr>
                <w:sz w:val="16"/>
              </w:rPr>
              <w:t>de</w:t>
            </w:r>
            <w:r>
              <w:rPr>
                <w:spacing w:val="-6"/>
                <w:sz w:val="16"/>
              </w:rPr>
              <w:t> </w:t>
            </w:r>
            <w:r>
              <w:rPr>
                <w:spacing w:val="-2"/>
                <w:sz w:val="16"/>
              </w:rPr>
              <w:t>integración</w:t>
            </w:r>
          </w:p>
        </w:tc>
        <w:tc>
          <w:tcPr>
            <w:tcW w:w="1198" w:type="dxa"/>
            <w:tcBorders>
              <w:top w:val="single" w:sz="8" w:space="0" w:color="000000"/>
            </w:tcBorders>
          </w:tcPr>
          <w:p>
            <w:pPr>
              <w:pStyle w:val="TableParagraph"/>
              <w:rPr>
                <w:sz w:val="16"/>
              </w:rPr>
            </w:pPr>
          </w:p>
        </w:tc>
        <w:tc>
          <w:tcPr>
            <w:tcW w:w="1232" w:type="dxa"/>
            <w:tcBorders>
              <w:top w:val="single" w:sz="8" w:space="0" w:color="000000"/>
            </w:tcBorders>
          </w:tcPr>
          <w:p>
            <w:pPr>
              <w:pStyle w:val="TableParagraph"/>
              <w:rPr>
                <w:sz w:val="16"/>
              </w:rPr>
            </w:pPr>
          </w:p>
        </w:tc>
        <w:tc>
          <w:tcPr>
            <w:tcW w:w="1166" w:type="dxa"/>
            <w:tcBorders>
              <w:top w:val="single" w:sz="8" w:space="0" w:color="000000"/>
            </w:tcBorders>
          </w:tcPr>
          <w:p>
            <w:pPr>
              <w:pStyle w:val="TableParagraph"/>
              <w:rPr>
                <w:sz w:val="16"/>
              </w:rPr>
            </w:pPr>
          </w:p>
        </w:tc>
        <w:tc>
          <w:tcPr>
            <w:tcW w:w="1255" w:type="dxa"/>
            <w:tcBorders>
              <w:top w:val="single" w:sz="8" w:space="0" w:color="000000"/>
            </w:tcBorders>
          </w:tcPr>
          <w:p>
            <w:pPr>
              <w:pStyle w:val="TableParagraph"/>
              <w:rPr>
                <w:sz w:val="16"/>
              </w:rPr>
            </w:pPr>
          </w:p>
        </w:tc>
      </w:tr>
      <w:tr>
        <w:trPr>
          <w:trHeight w:val="227" w:hRule="atLeast"/>
        </w:trPr>
        <w:tc>
          <w:tcPr>
            <w:tcW w:w="3045" w:type="dxa"/>
          </w:tcPr>
          <w:p>
            <w:pPr>
              <w:pStyle w:val="TableParagraph"/>
              <w:spacing w:before="18"/>
              <w:ind w:left="230"/>
              <w:rPr>
                <w:sz w:val="16"/>
              </w:rPr>
            </w:pPr>
            <w:r>
              <w:rPr>
                <w:sz w:val="16"/>
              </w:rPr>
              <w:t>Proyectos</w:t>
            </w:r>
            <w:r>
              <w:rPr>
                <w:spacing w:val="-8"/>
                <w:sz w:val="16"/>
              </w:rPr>
              <w:t> </w:t>
            </w:r>
            <w:r>
              <w:rPr>
                <w:spacing w:val="-2"/>
                <w:sz w:val="16"/>
              </w:rPr>
              <w:t>ferroviarios</w:t>
            </w:r>
          </w:p>
        </w:tc>
        <w:tc>
          <w:tcPr>
            <w:tcW w:w="1198" w:type="dxa"/>
          </w:tcPr>
          <w:p>
            <w:pPr>
              <w:pStyle w:val="TableParagraph"/>
              <w:rPr>
                <w:sz w:val="16"/>
              </w:rPr>
            </w:pPr>
          </w:p>
        </w:tc>
        <w:tc>
          <w:tcPr>
            <w:tcW w:w="1232" w:type="dxa"/>
          </w:tcPr>
          <w:p>
            <w:pPr>
              <w:pStyle w:val="TableParagraph"/>
              <w:rPr>
                <w:sz w:val="16"/>
              </w:rPr>
            </w:pPr>
          </w:p>
        </w:tc>
        <w:tc>
          <w:tcPr>
            <w:tcW w:w="1166" w:type="dxa"/>
          </w:tcPr>
          <w:p>
            <w:pPr>
              <w:pStyle w:val="TableParagraph"/>
              <w:rPr>
                <w:sz w:val="16"/>
              </w:rPr>
            </w:pPr>
          </w:p>
        </w:tc>
        <w:tc>
          <w:tcPr>
            <w:tcW w:w="1255" w:type="dxa"/>
          </w:tcPr>
          <w:p>
            <w:pPr>
              <w:pStyle w:val="TableParagraph"/>
              <w:spacing w:before="18"/>
              <w:ind w:right="67"/>
              <w:jc w:val="right"/>
              <w:rPr>
                <w:b/>
                <w:sz w:val="16"/>
              </w:rPr>
            </w:pPr>
            <w:r>
              <w:rPr>
                <w:b/>
                <w:spacing w:val="-4"/>
                <w:sz w:val="16"/>
              </w:rPr>
              <w:t>0,00</w:t>
            </w:r>
          </w:p>
        </w:tc>
      </w:tr>
      <w:tr>
        <w:trPr>
          <w:trHeight w:val="226" w:hRule="atLeast"/>
        </w:trPr>
        <w:tc>
          <w:tcPr>
            <w:tcW w:w="3045" w:type="dxa"/>
          </w:tcPr>
          <w:p>
            <w:pPr>
              <w:pStyle w:val="TableParagraph"/>
              <w:spacing w:before="18"/>
              <w:ind w:left="230"/>
              <w:rPr>
                <w:sz w:val="16"/>
              </w:rPr>
            </w:pPr>
            <w:r>
              <w:rPr>
                <w:sz w:val="16"/>
              </w:rPr>
              <w:t>Obra</w:t>
            </w:r>
            <w:r>
              <w:rPr>
                <w:spacing w:val="-5"/>
                <w:sz w:val="16"/>
              </w:rPr>
              <w:t> </w:t>
            </w:r>
            <w:r>
              <w:rPr>
                <w:sz w:val="16"/>
              </w:rPr>
              <w:t>Fases</w:t>
            </w:r>
            <w:r>
              <w:rPr>
                <w:spacing w:val="-3"/>
                <w:sz w:val="16"/>
              </w:rPr>
              <w:t> </w:t>
            </w:r>
            <w:r>
              <w:rPr>
                <w:sz w:val="16"/>
              </w:rPr>
              <w:t>1</w:t>
            </w:r>
            <w:r>
              <w:rPr>
                <w:spacing w:val="-4"/>
                <w:sz w:val="16"/>
              </w:rPr>
              <w:t> </w:t>
            </w:r>
            <w:r>
              <w:rPr>
                <w:sz w:val="16"/>
              </w:rPr>
              <w:t>y</w:t>
            </w:r>
            <w:r>
              <w:rPr>
                <w:spacing w:val="-3"/>
                <w:sz w:val="16"/>
              </w:rPr>
              <w:t> </w:t>
            </w:r>
            <w:r>
              <w:rPr>
                <w:spacing w:val="-10"/>
                <w:sz w:val="16"/>
              </w:rPr>
              <w:t>2</w:t>
            </w:r>
          </w:p>
        </w:tc>
        <w:tc>
          <w:tcPr>
            <w:tcW w:w="1198" w:type="dxa"/>
          </w:tcPr>
          <w:p>
            <w:pPr>
              <w:pStyle w:val="TableParagraph"/>
              <w:spacing w:before="18"/>
              <w:ind w:right="120"/>
              <w:jc w:val="right"/>
              <w:rPr>
                <w:sz w:val="16"/>
              </w:rPr>
            </w:pPr>
            <w:r>
              <w:rPr>
                <w:spacing w:val="-2"/>
                <w:sz w:val="16"/>
              </w:rPr>
              <w:t>31.575.920,14</w:t>
            </w:r>
          </w:p>
        </w:tc>
        <w:tc>
          <w:tcPr>
            <w:tcW w:w="1232" w:type="dxa"/>
          </w:tcPr>
          <w:p>
            <w:pPr>
              <w:pStyle w:val="TableParagraph"/>
              <w:spacing w:before="18"/>
              <w:ind w:right="158"/>
              <w:jc w:val="right"/>
              <w:rPr>
                <w:sz w:val="16"/>
              </w:rPr>
            </w:pPr>
            <w:r>
              <w:rPr>
                <w:spacing w:val="-2"/>
                <w:sz w:val="16"/>
              </w:rPr>
              <w:t>196.521,96</w:t>
            </w:r>
          </w:p>
        </w:tc>
        <w:tc>
          <w:tcPr>
            <w:tcW w:w="1166" w:type="dxa"/>
          </w:tcPr>
          <w:p>
            <w:pPr>
              <w:pStyle w:val="TableParagraph"/>
              <w:rPr>
                <w:sz w:val="16"/>
              </w:rPr>
            </w:pPr>
          </w:p>
        </w:tc>
        <w:tc>
          <w:tcPr>
            <w:tcW w:w="1255" w:type="dxa"/>
          </w:tcPr>
          <w:p>
            <w:pPr>
              <w:pStyle w:val="TableParagraph"/>
              <w:spacing w:before="18"/>
              <w:ind w:right="68"/>
              <w:jc w:val="right"/>
              <w:rPr>
                <w:b/>
                <w:sz w:val="16"/>
              </w:rPr>
            </w:pPr>
            <w:r>
              <w:rPr>
                <w:b/>
                <w:spacing w:val="-2"/>
                <w:sz w:val="16"/>
              </w:rPr>
              <w:t>31.772.442,10</w:t>
            </w:r>
          </w:p>
        </w:tc>
      </w:tr>
      <w:tr>
        <w:trPr>
          <w:trHeight w:val="227" w:hRule="atLeast"/>
        </w:trPr>
        <w:tc>
          <w:tcPr>
            <w:tcW w:w="3045" w:type="dxa"/>
          </w:tcPr>
          <w:p>
            <w:pPr>
              <w:pStyle w:val="TableParagraph"/>
              <w:spacing w:before="18"/>
              <w:ind w:right="290"/>
              <w:jc w:val="right"/>
              <w:rPr>
                <w:sz w:val="16"/>
              </w:rPr>
            </w:pPr>
            <w:r>
              <w:rPr>
                <w:sz w:val="16"/>
              </w:rPr>
              <w:t>Intermodalidad</w:t>
            </w:r>
            <w:r>
              <w:rPr>
                <w:spacing w:val="-5"/>
                <w:sz w:val="16"/>
              </w:rPr>
              <w:t> </w:t>
            </w:r>
            <w:r>
              <w:rPr>
                <w:sz w:val="16"/>
              </w:rPr>
              <w:t>-</w:t>
            </w:r>
            <w:r>
              <w:rPr>
                <w:spacing w:val="-5"/>
                <w:sz w:val="16"/>
              </w:rPr>
              <w:t> </w:t>
            </w:r>
            <w:r>
              <w:rPr>
                <w:sz w:val="16"/>
              </w:rPr>
              <w:t>Estación</w:t>
            </w:r>
            <w:r>
              <w:rPr>
                <w:spacing w:val="-4"/>
                <w:sz w:val="16"/>
              </w:rPr>
              <w:t> </w:t>
            </w:r>
            <w:r>
              <w:rPr>
                <w:sz w:val="16"/>
              </w:rPr>
              <w:t>de</w:t>
            </w:r>
            <w:r>
              <w:rPr>
                <w:spacing w:val="-6"/>
                <w:sz w:val="16"/>
              </w:rPr>
              <w:t> </w:t>
            </w:r>
            <w:r>
              <w:rPr>
                <w:spacing w:val="-2"/>
                <w:sz w:val="16"/>
              </w:rPr>
              <w:t>autobuses</w:t>
            </w:r>
          </w:p>
        </w:tc>
        <w:tc>
          <w:tcPr>
            <w:tcW w:w="1198" w:type="dxa"/>
          </w:tcPr>
          <w:p>
            <w:pPr>
              <w:pStyle w:val="TableParagraph"/>
              <w:spacing w:before="18"/>
              <w:ind w:right="119"/>
              <w:jc w:val="right"/>
              <w:rPr>
                <w:sz w:val="16"/>
              </w:rPr>
            </w:pPr>
            <w:r>
              <w:rPr>
                <w:spacing w:val="-2"/>
                <w:sz w:val="16"/>
              </w:rPr>
              <w:t>-178,99</w:t>
            </w:r>
          </w:p>
        </w:tc>
        <w:tc>
          <w:tcPr>
            <w:tcW w:w="1232" w:type="dxa"/>
          </w:tcPr>
          <w:p>
            <w:pPr>
              <w:pStyle w:val="TableParagraph"/>
              <w:rPr>
                <w:sz w:val="16"/>
              </w:rPr>
            </w:pPr>
          </w:p>
        </w:tc>
        <w:tc>
          <w:tcPr>
            <w:tcW w:w="1166" w:type="dxa"/>
          </w:tcPr>
          <w:p>
            <w:pPr>
              <w:pStyle w:val="TableParagraph"/>
              <w:rPr>
                <w:sz w:val="16"/>
              </w:rPr>
            </w:pPr>
          </w:p>
        </w:tc>
        <w:tc>
          <w:tcPr>
            <w:tcW w:w="1255" w:type="dxa"/>
          </w:tcPr>
          <w:p>
            <w:pPr>
              <w:pStyle w:val="TableParagraph"/>
              <w:spacing w:before="18"/>
              <w:ind w:right="68"/>
              <w:jc w:val="right"/>
              <w:rPr>
                <w:b/>
                <w:sz w:val="16"/>
              </w:rPr>
            </w:pPr>
            <w:r>
              <w:rPr>
                <w:b/>
                <w:spacing w:val="-2"/>
                <w:sz w:val="16"/>
              </w:rPr>
              <w:t>-178,99</w:t>
            </w:r>
          </w:p>
        </w:tc>
      </w:tr>
      <w:tr>
        <w:trPr>
          <w:trHeight w:val="227" w:hRule="atLeast"/>
        </w:trPr>
        <w:tc>
          <w:tcPr>
            <w:tcW w:w="3045" w:type="dxa"/>
          </w:tcPr>
          <w:p>
            <w:pPr>
              <w:pStyle w:val="TableParagraph"/>
              <w:spacing w:before="18"/>
              <w:ind w:left="230"/>
              <w:rPr>
                <w:sz w:val="16"/>
              </w:rPr>
            </w:pPr>
            <w:r>
              <w:rPr>
                <w:sz w:val="16"/>
              </w:rPr>
              <w:t>Aparcamiento</w:t>
            </w:r>
            <w:r>
              <w:rPr>
                <w:spacing w:val="-8"/>
                <w:sz w:val="16"/>
              </w:rPr>
              <w:t> </w:t>
            </w:r>
            <w:r>
              <w:rPr>
                <w:sz w:val="16"/>
              </w:rPr>
              <w:t>estación</w:t>
            </w:r>
            <w:r>
              <w:rPr>
                <w:spacing w:val="-8"/>
                <w:sz w:val="16"/>
              </w:rPr>
              <w:t> </w:t>
            </w:r>
            <w:r>
              <w:rPr>
                <w:spacing w:val="-2"/>
                <w:sz w:val="16"/>
              </w:rPr>
              <w:t>intermodal</w:t>
            </w:r>
          </w:p>
        </w:tc>
        <w:tc>
          <w:tcPr>
            <w:tcW w:w="1198" w:type="dxa"/>
          </w:tcPr>
          <w:p>
            <w:pPr>
              <w:pStyle w:val="TableParagraph"/>
              <w:spacing w:before="18"/>
              <w:ind w:right="119"/>
              <w:jc w:val="right"/>
              <w:rPr>
                <w:sz w:val="16"/>
              </w:rPr>
            </w:pPr>
            <w:r>
              <w:rPr>
                <w:spacing w:val="-4"/>
                <w:sz w:val="16"/>
              </w:rPr>
              <w:t>0,00</w:t>
            </w:r>
          </w:p>
        </w:tc>
        <w:tc>
          <w:tcPr>
            <w:tcW w:w="1232" w:type="dxa"/>
          </w:tcPr>
          <w:p>
            <w:pPr>
              <w:pStyle w:val="TableParagraph"/>
              <w:rPr>
                <w:sz w:val="16"/>
              </w:rPr>
            </w:pPr>
          </w:p>
        </w:tc>
        <w:tc>
          <w:tcPr>
            <w:tcW w:w="1166" w:type="dxa"/>
          </w:tcPr>
          <w:p>
            <w:pPr>
              <w:pStyle w:val="TableParagraph"/>
              <w:rPr>
                <w:sz w:val="16"/>
              </w:rPr>
            </w:pPr>
          </w:p>
        </w:tc>
        <w:tc>
          <w:tcPr>
            <w:tcW w:w="1255" w:type="dxa"/>
          </w:tcPr>
          <w:p>
            <w:pPr>
              <w:pStyle w:val="TableParagraph"/>
              <w:spacing w:before="18"/>
              <w:ind w:right="67"/>
              <w:jc w:val="right"/>
              <w:rPr>
                <w:b/>
                <w:sz w:val="16"/>
              </w:rPr>
            </w:pPr>
            <w:r>
              <w:rPr>
                <w:b/>
                <w:spacing w:val="-4"/>
                <w:sz w:val="16"/>
              </w:rPr>
              <w:t>0,00</w:t>
            </w:r>
          </w:p>
        </w:tc>
      </w:tr>
      <w:tr>
        <w:trPr>
          <w:trHeight w:val="223" w:hRule="atLeast"/>
        </w:trPr>
        <w:tc>
          <w:tcPr>
            <w:tcW w:w="3045" w:type="dxa"/>
          </w:tcPr>
          <w:p>
            <w:pPr>
              <w:pStyle w:val="TableParagraph"/>
              <w:spacing w:before="18"/>
              <w:ind w:left="70"/>
              <w:rPr>
                <w:sz w:val="16"/>
              </w:rPr>
            </w:pPr>
            <w:r>
              <w:rPr>
                <w:spacing w:val="-2"/>
                <w:sz w:val="16"/>
              </w:rPr>
              <w:t>Actuaciones</w:t>
            </w:r>
            <w:r>
              <w:rPr>
                <w:spacing w:val="11"/>
                <w:sz w:val="16"/>
              </w:rPr>
              <w:t> </w:t>
            </w:r>
            <w:r>
              <w:rPr>
                <w:spacing w:val="-2"/>
                <w:sz w:val="16"/>
              </w:rPr>
              <w:t>urbanísticas-</w:t>
            </w:r>
            <w:r>
              <w:rPr>
                <w:spacing w:val="12"/>
                <w:sz w:val="16"/>
              </w:rPr>
              <w:t> </w:t>
            </w:r>
            <w:r>
              <w:rPr>
                <w:spacing w:val="-2"/>
                <w:sz w:val="16"/>
              </w:rPr>
              <w:t>Proyectos</w:t>
            </w:r>
          </w:p>
        </w:tc>
        <w:tc>
          <w:tcPr>
            <w:tcW w:w="1198" w:type="dxa"/>
            <w:tcBorders>
              <w:bottom w:val="single" w:sz="8" w:space="0" w:color="000000"/>
            </w:tcBorders>
          </w:tcPr>
          <w:p>
            <w:pPr>
              <w:pStyle w:val="TableParagraph"/>
              <w:spacing w:before="18"/>
              <w:ind w:right="119"/>
              <w:jc w:val="right"/>
              <w:rPr>
                <w:sz w:val="16"/>
              </w:rPr>
            </w:pPr>
            <w:r>
              <w:rPr>
                <w:spacing w:val="-2"/>
                <w:sz w:val="16"/>
              </w:rPr>
              <w:t>251.260,30</w:t>
            </w:r>
          </w:p>
        </w:tc>
        <w:tc>
          <w:tcPr>
            <w:tcW w:w="1232" w:type="dxa"/>
            <w:tcBorders>
              <w:bottom w:val="single" w:sz="8" w:space="0" w:color="000000"/>
            </w:tcBorders>
          </w:tcPr>
          <w:p>
            <w:pPr>
              <w:pStyle w:val="TableParagraph"/>
              <w:spacing w:before="18"/>
              <w:ind w:right="159"/>
              <w:jc w:val="right"/>
              <w:rPr>
                <w:sz w:val="16"/>
              </w:rPr>
            </w:pPr>
            <w:r>
              <w:rPr>
                <w:spacing w:val="-2"/>
                <w:sz w:val="16"/>
              </w:rPr>
              <w:t>1.562,89</w:t>
            </w:r>
          </w:p>
        </w:tc>
        <w:tc>
          <w:tcPr>
            <w:tcW w:w="1166" w:type="dxa"/>
            <w:tcBorders>
              <w:bottom w:val="single" w:sz="8" w:space="0" w:color="000000"/>
            </w:tcBorders>
          </w:tcPr>
          <w:p>
            <w:pPr>
              <w:pStyle w:val="TableParagraph"/>
              <w:rPr>
                <w:sz w:val="14"/>
              </w:rPr>
            </w:pPr>
          </w:p>
        </w:tc>
        <w:tc>
          <w:tcPr>
            <w:tcW w:w="1255" w:type="dxa"/>
            <w:tcBorders>
              <w:bottom w:val="single" w:sz="8" w:space="0" w:color="000000"/>
            </w:tcBorders>
          </w:tcPr>
          <w:p>
            <w:pPr>
              <w:pStyle w:val="TableParagraph"/>
              <w:spacing w:before="18"/>
              <w:ind w:right="67"/>
              <w:jc w:val="right"/>
              <w:rPr>
                <w:b/>
                <w:sz w:val="16"/>
              </w:rPr>
            </w:pPr>
            <w:r>
              <w:rPr>
                <w:b/>
                <w:spacing w:val="-2"/>
                <w:sz w:val="16"/>
              </w:rPr>
              <w:t>252.823,19</w:t>
            </w:r>
          </w:p>
        </w:tc>
      </w:tr>
      <w:tr>
        <w:trPr>
          <w:trHeight w:val="226" w:hRule="atLeast"/>
        </w:trPr>
        <w:tc>
          <w:tcPr>
            <w:tcW w:w="3045" w:type="dxa"/>
          </w:tcPr>
          <w:p>
            <w:pPr>
              <w:pStyle w:val="TableParagraph"/>
              <w:spacing w:before="22"/>
              <w:ind w:left="7"/>
              <w:jc w:val="center"/>
              <w:rPr>
                <w:b/>
                <w:sz w:val="16"/>
              </w:rPr>
            </w:pPr>
            <w:r>
              <w:rPr>
                <w:b/>
                <w:spacing w:val="-2"/>
                <w:sz w:val="16"/>
              </w:rPr>
              <w:t>Total</w:t>
            </w:r>
          </w:p>
        </w:tc>
        <w:tc>
          <w:tcPr>
            <w:tcW w:w="1198" w:type="dxa"/>
            <w:tcBorders>
              <w:top w:val="single" w:sz="8" w:space="0" w:color="000000"/>
              <w:bottom w:val="double" w:sz="6" w:space="0" w:color="000000"/>
            </w:tcBorders>
          </w:tcPr>
          <w:p>
            <w:pPr>
              <w:pStyle w:val="TableParagraph"/>
              <w:spacing w:before="22"/>
              <w:ind w:right="120"/>
              <w:jc w:val="right"/>
              <w:rPr>
                <w:b/>
                <w:sz w:val="16"/>
              </w:rPr>
            </w:pPr>
            <w:r>
              <w:rPr>
                <w:b/>
                <w:spacing w:val="-2"/>
                <w:sz w:val="16"/>
              </w:rPr>
              <w:t>31.827.001,45</w:t>
            </w:r>
          </w:p>
        </w:tc>
        <w:tc>
          <w:tcPr>
            <w:tcW w:w="1232" w:type="dxa"/>
            <w:tcBorders>
              <w:top w:val="single" w:sz="8" w:space="0" w:color="000000"/>
              <w:bottom w:val="double" w:sz="6" w:space="0" w:color="000000"/>
            </w:tcBorders>
          </w:tcPr>
          <w:p>
            <w:pPr>
              <w:pStyle w:val="TableParagraph"/>
              <w:spacing w:before="22"/>
              <w:ind w:right="158"/>
              <w:jc w:val="right"/>
              <w:rPr>
                <w:b/>
                <w:sz w:val="16"/>
              </w:rPr>
            </w:pPr>
            <w:r>
              <w:rPr>
                <w:b/>
                <w:spacing w:val="-2"/>
                <w:sz w:val="16"/>
              </w:rPr>
              <w:t>198.084,85</w:t>
            </w:r>
          </w:p>
        </w:tc>
        <w:tc>
          <w:tcPr>
            <w:tcW w:w="1166" w:type="dxa"/>
            <w:tcBorders>
              <w:top w:val="single" w:sz="8" w:space="0" w:color="000000"/>
              <w:bottom w:val="double" w:sz="6" w:space="0" w:color="000000"/>
            </w:tcBorders>
          </w:tcPr>
          <w:p>
            <w:pPr>
              <w:pStyle w:val="TableParagraph"/>
              <w:spacing w:before="22"/>
              <w:ind w:right="69"/>
              <w:jc w:val="right"/>
              <w:rPr>
                <w:b/>
                <w:sz w:val="16"/>
              </w:rPr>
            </w:pPr>
            <w:r>
              <w:rPr>
                <w:b/>
                <w:spacing w:val="-4"/>
                <w:sz w:val="16"/>
              </w:rPr>
              <w:t>0,00</w:t>
            </w:r>
          </w:p>
        </w:tc>
        <w:tc>
          <w:tcPr>
            <w:tcW w:w="1255" w:type="dxa"/>
            <w:tcBorders>
              <w:top w:val="single" w:sz="8" w:space="0" w:color="000000"/>
              <w:bottom w:val="double" w:sz="6" w:space="0" w:color="000000"/>
            </w:tcBorders>
          </w:tcPr>
          <w:p>
            <w:pPr>
              <w:pStyle w:val="TableParagraph"/>
              <w:spacing w:before="22"/>
              <w:ind w:right="68"/>
              <w:jc w:val="right"/>
              <w:rPr>
                <w:b/>
                <w:sz w:val="16"/>
              </w:rPr>
            </w:pPr>
            <w:r>
              <w:rPr>
                <w:b/>
                <w:spacing w:val="-2"/>
                <w:sz w:val="16"/>
              </w:rPr>
              <w:t>32.025.086,30</w:t>
            </w:r>
          </w:p>
        </w:tc>
      </w:tr>
      <w:tr>
        <w:trPr>
          <w:trHeight w:val="454" w:hRule="atLeast"/>
        </w:trPr>
        <w:tc>
          <w:tcPr>
            <w:tcW w:w="7896" w:type="dxa"/>
            <w:gridSpan w:val="5"/>
          </w:tcPr>
          <w:p>
            <w:pPr>
              <w:pStyle w:val="TableParagraph"/>
              <w:spacing w:before="64"/>
              <w:rPr>
                <w:sz w:val="16"/>
              </w:rPr>
            </w:pPr>
          </w:p>
          <w:p>
            <w:pPr>
              <w:pStyle w:val="TableParagraph"/>
              <w:ind w:left="3660"/>
              <w:rPr>
                <w:b/>
                <w:sz w:val="16"/>
              </w:rPr>
            </w:pPr>
            <w:r>
              <w:rPr>
                <w:b/>
                <w:sz w:val="16"/>
              </w:rPr>
              <w:t>Importes</w:t>
            </w:r>
            <w:r>
              <w:rPr>
                <w:b/>
                <w:spacing w:val="-7"/>
                <w:sz w:val="16"/>
              </w:rPr>
              <w:t> </w:t>
            </w:r>
            <w:r>
              <w:rPr>
                <w:b/>
                <w:sz w:val="16"/>
              </w:rPr>
              <w:t>acumulados</w:t>
            </w:r>
            <w:r>
              <w:rPr>
                <w:b/>
                <w:spacing w:val="-7"/>
                <w:sz w:val="16"/>
              </w:rPr>
              <w:t> </w:t>
            </w:r>
            <w:r>
              <w:rPr>
                <w:b/>
                <w:sz w:val="16"/>
              </w:rPr>
              <w:t>a</w:t>
            </w:r>
            <w:r>
              <w:rPr>
                <w:b/>
                <w:spacing w:val="-6"/>
                <w:sz w:val="16"/>
              </w:rPr>
              <w:t> </w:t>
            </w:r>
            <w:r>
              <w:rPr>
                <w:b/>
                <w:spacing w:val="-2"/>
                <w:sz w:val="16"/>
              </w:rPr>
              <w:t>31/12/2025</w:t>
            </w:r>
          </w:p>
        </w:tc>
      </w:tr>
      <w:tr>
        <w:trPr>
          <w:trHeight w:val="367" w:hRule="atLeast"/>
        </w:trPr>
        <w:tc>
          <w:tcPr>
            <w:tcW w:w="3045" w:type="dxa"/>
            <w:tcBorders>
              <w:bottom w:val="single" w:sz="8" w:space="0" w:color="000000"/>
            </w:tcBorders>
          </w:tcPr>
          <w:p>
            <w:pPr>
              <w:pStyle w:val="TableParagraph"/>
              <w:spacing w:before="91"/>
              <w:ind w:left="7" w:right="2"/>
              <w:jc w:val="center"/>
              <w:rPr>
                <w:b/>
                <w:sz w:val="16"/>
              </w:rPr>
            </w:pPr>
            <w:r>
              <w:rPr>
                <w:b/>
                <w:spacing w:val="-2"/>
                <w:sz w:val="16"/>
              </w:rPr>
              <w:t>Concepto</w:t>
            </w:r>
          </w:p>
        </w:tc>
        <w:tc>
          <w:tcPr>
            <w:tcW w:w="1198" w:type="dxa"/>
            <w:tcBorders>
              <w:top w:val="single" w:sz="8" w:space="0" w:color="000000"/>
              <w:bottom w:val="single" w:sz="8" w:space="0" w:color="000000"/>
            </w:tcBorders>
          </w:tcPr>
          <w:p>
            <w:pPr>
              <w:pStyle w:val="TableParagraph"/>
              <w:spacing w:before="91"/>
              <w:ind w:left="163"/>
              <w:rPr>
                <w:b/>
                <w:sz w:val="16"/>
              </w:rPr>
            </w:pPr>
            <w:r>
              <w:rPr>
                <w:b/>
                <w:spacing w:val="-2"/>
                <w:sz w:val="16"/>
              </w:rPr>
              <w:t>Actuaciones</w:t>
            </w:r>
          </w:p>
        </w:tc>
        <w:tc>
          <w:tcPr>
            <w:tcW w:w="1232" w:type="dxa"/>
            <w:tcBorders>
              <w:top w:val="single" w:sz="8" w:space="0" w:color="000000"/>
              <w:bottom w:val="single" w:sz="8" w:space="0" w:color="000000"/>
            </w:tcBorders>
          </w:tcPr>
          <w:p>
            <w:pPr>
              <w:pStyle w:val="TableParagraph"/>
              <w:spacing w:line="184" w:lineRule="exact"/>
              <w:ind w:left="189" w:right="253" w:hanging="69"/>
              <w:rPr>
                <w:b/>
                <w:sz w:val="16"/>
              </w:rPr>
            </w:pPr>
            <w:r>
              <w:rPr>
                <w:b/>
                <w:sz w:val="16"/>
              </w:rPr>
              <w:t>Otros</w:t>
            </w:r>
            <w:r>
              <w:rPr>
                <w:b/>
                <w:spacing w:val="-10"/>
                <w:sz w:val="16"/>
              </w:rPr>
              <w:t> </w:t>
            </w:r>
            <w:r>
              <w:rPr>
                <w:b/>
                <w:sz w:val="16"/>
              </w:rPr>
              <w:t>gastos</w:t>
            </w:r>
            <w:r>
              <w:rPr>
                <w:b/>
                <w:spacing w:val="40"/>
                <w:sz w:val="16"/>
              </w:rPr>
              <w:t> </w:t>
            </w:r>
            <w:r>
              <w:rPr>
                <w:b/>
                <w:spacing w:val="-2"/>
                <w:sz w:val="16"/>
              </w:rPr>
              <w:t>operativos</w:t>
            </w:r>
          </w:p>
        </w:tc>
        <w:tc>
          <w:tcPr>
            <w:tcW w:w="1166" w:type="dxa"/>
            <w:tcBorders>
              <w:top w:val="single" w:sz="8" w:space="0" w:color="000000"/>
              <w:bottom w:val="single" w:sz="8" w:space="0" w:color="000000"/>
            </w:tcBorders>
          </w:tcPr>
          <w:p>
            <w:pPr>
              <w:pStyle w:val="TableParagraph"/>
              <w:spacing w:line="184" w:lineRule="exact"/>
              <w:ind w:left="159" w:firstLine="146"/>
              <w:rPr>
                <w:b/>
                <w:sz w:val="16"/>
              </w:rPr>
            </w:pPr>
            <w:r>
              <w:rPr>
                <w:b/>
                <w:spacing w:val="-2"/>
                <w:sz w:val="16"/>
              </w:rPr>
              <w:t>Gastos</w:t>
            </w:r>
            <w:r>
              <w:rPr>
                <w:b/>
                <w:spacing w:val="40"/>
                <w:sz w:val="16"/>
              </w:rPr>
              <w:t> </w:t>
            </w:r>
            <w:r>
              <w:rPr>
                <w:b/>
                <w:spacing w:val="-2"/>
                <w:sz w:val="16"/>
              </w:rPr>
              <w:t>financieros</w:t>
            </w:r>
          </w:p>
        </w:tc>
        <w:tc>
          <w:tcPr>
            <w:tcW w:w="1255" w:type="dxa"/>
            <w:tcBorders>
              <w:bottom w:val="single" w:sz="8" w:space="0" w:color="000000"/>
            </w:tcBorders>
          </w:tcPr>
          <w:p>
            <w:pPr>
              <w:pStyle w:val="TableParagraph"/>
              <w:spacing w:line="152" w:lineRule="exact"/>
              <w:ind w:right="1"/>
              <w:jc w:val="center"/>
              <w:rPr>
                <w:b/>
                <w:sz w:val="16"/>
              </w:rPr>
            </w:pPr>
            <w:r>
              <w:rPr>
                <w:b/>
                <w:spacing w:val="-2"/>
                <w:sz w:val="16"/>
              </w:rPr>
              <w:t>Total</w:t>
            </w:r>
          </w:p>
        </w:tc>
      </w:tr>
      <w:tr>
        <w:trPr>
          <w:trHeight w:val="230" w:hRule="atLeast"/>
        </w:trPr>
        <w:tc>
          <w:tcPr>
            <w:tcW w:w="3045" w:type="dxa"/>
            <w:tcBorders>
              <w:top w:val="single" w:sz="8" w:space="0" w:color="000000"/>
            </w:tcBorders>
          </w:tcPr>
          <w:p>
            <w:pPr>
              <w:pStyle w:val="TableParagraph"/>
              <w:spacing w:before="21"/>
              <w:ind w:left="70"/>
              <w:rPr>
                <w:sz w:val="16"/>
              </w:rPr>
            </w:pPr>
            <w:r>
              <w:rPr>
                <w:sz w:val="16"/>
              </w:rPr>
              <w:t>Actuaciones</w:t>
            </w:r>
            <w:r>
              <w:rPr>
                <w:spacing w:val="-7"/>
                <w:sz w:val="16"/>
              </w:rPr>
              <w:t> </w:t>
            </w:r>
            <w:r>
              <w:rPr>
                <w:sz w:val="16"/>
              </w:rPr>
              <w:t>de</w:t>
            </w:r>
            <w:r>
              <w:rPr>
                <w:spacing w:val="-6"/>
                <w:sz w:val="16"/>
              </w:rPr>
              <w:t> </w:t>
            </w:r>
            <w:r>
              <w:rPr>
                <w:spacing w:val="-2"/>
                <w:sz w:val="16"/>
              </w:rPr>
              <w:t>integración</w:t>
            </w:r>
          </w:p>
        </w:tc>
        <w:tc>
          <w:tcPr>
            <w:tcW w:w="1198" w:type="dxa"/>
            <w:tcBorders>
              <w:top w:val="single" w:sz="8" w:space="0" w:color="000000"/>
            </w:tcBorders>
          </w:tcPr>
          <w:p>
            <w:pPr>
              <w:pStyle w:val="TableParagraph"/>
              <w:rPr>
                <w:sz w:val="16"/>
              </w:rPr>
            </w:pPr>
          </w:p>
        </w:tc>
        <w:tc>
          <w:tcPr>
            <w:tcW w:w="1232" w:type="dxa"/>
            <w:tcBorders>
              <w:top w:val="single" w:sz="8" w:space="0" w:color="000000"/>
            </w:tcBorders>
          </w:tcPr>
          <w:p>
            <w:pPr>
              <w:pStyle w:val="TableParagraph"/>
              <w:rPr>
                <w:sz w:val="16"/>
              </w:rPr>
            </w:pPr>
          </w:p>
        </w:tc>
        <w:tc>
          <w:tcPr>
            <w:tcW w:w="1166" w:type="dxa"/>
            <w:tcBorders>
              <w:top w:val="single" w:sz="8" w:space="0" w:color="000000"/>
            </w:tcBorders>
          </w:tcPr>
          <w:p>
            <w:pPr>
              <w:pStyle w:val="TableParagraph"/>
              <w:rPr>
                <w:sz w:val="16"/>
              </w:rPr>
            </w:pPr>
          </w:p>
        </w:tc>
        <w:tc>
          <w:tcPr>
            <w:tcW w:w="1255" w:type="dxa"/>
            <w:tcBorders>
              <w:top w:val="single" w:sz="8" w:space="0" w:color="000000"/>
            </w:tcBorders>
          </w:tcPr>
          <w:p>
            <w:pPr>
              <w:pStyle w:val="TableParagraph"/>
              <w:rPr>
                <w:sz w:val="16"/>
              </w:rPr>
            </w:pPr>
          </w:p>
        </w:tc>
      </w:tr>
      <w:tr>
        <w:trPr>
          <w:trHeight w:val="226" w:hRule="atLeast"/>
        </w:trPr>
        <w:tc>
          <w:tcPr>
            <w:tcW w:w="3045" w:type="dxa"/>
          </w:tcPr>
          <w:p>
            <w:pPr>
              <w:pStyle w:val="TableParagraph"/>
              <w:spacing w:before="18"/>
              <w:ind w:left="230"/>
              <w:rPr>
                <w:sz w:val="16"/>
              </w:rPr>
            </w:pPr>
            <w:r>
              <w:rPr>
                <w:sz w:val="16"/>
              </w:rPr>
              <w:t>Proyectos</w:t>
            </w:r>
            <w:r>
              <w:rPr>
                <w:spacing w:val="-8"/>
                <w:sz w:val="16"/>
              </w:rPr>
              <w:t> </w:t>
            </w:r>
            <w:r>
              <w:rPr>
                <w:spacing w:val="-2"/>
                <w:sz w:val="16"/>
              </w:rPr>
              <w:t>ferroviarios</w:t>
            </w:r>
          </w:p>
        </w:tc>
        <w:tc>
          <w:tcPr>
            <w:tcW w:w="1198" w:type="dxa"/>
          </w:tcPr>
          <w:p>
            <w:pPr>
              <w:pStyle w:val="TableParagraph"/>
              <w:spacing w:before="18"/>
              <w:ind w:right="119"/>
              <w:jc w:val="right"/>
              <w:rPr>
                <w:sz w:val="16"/>
              </w:rPr>
            </w:pPr>
            <w:r>
              <w:rPr>
                <w:spacing w:val="-2"/>
                <w:sz w:val="16"/>
              </w:rPr>
              <w:t>4.959.549,86</w:t>
            </w:r>
          </w:p>
        </w:tc>
        <w:tc>
          <w:tcPr>
            <w:tcW w:w="1232" w:type="dxa"/>
          </w:tcPr>
          <w:p>
            <w:pPr>
              <w:pStyle w:val="TableParagraph"/>
              <w:spacing w:before="18"/>
              <w:ind w:right="158"/>
              <w:jc w:val="right"/>
              <w:rPr>
                <w:sz w:val="16"/>
              </w:rPr>
            </w:pPr>
            <w:r>
              <w:rPr>
                <w:spacing w:val="-2"/>
                <w:sz w:val="16"/>
              </w:rPr>
              <w:t>59.346,01</w:t>
            </w:r>
          </w:p>
        </w:tc>
        <w:tc>
          <w:tcPr>
            <w:tcW w:w="1166" w:type="dxa"/>
          </w:tcPr>
          <w:p>
            <w:pPr>
              <w:pStyle w:val="TableParagraph"/>
              <w:spacing w:before="18"/>
              <w:ind w:right="69"/>
              <w:jc w:val="right"/>
              <w:rPr>
                <w:sz w:val="16"/>
              </w:rPr>
            </w:pPr>
            <w:r>
              <w:rPr>
                <w:spacing w:val="-2"/>
                <w:sz w:val="16"/>
              </w:rPr>
              <w:t>21.992,90</w:t>
            </w:r>
          </w:p>
        </w:tc>
        <w:tc>
          <w:tcPr>
            <w:tcW w:w="1255" w:type="dxa"/>
          </w:tcPr>
          <w:p>
            <w:pPr>
              <w:pStyle w:val="TableParagraph"/>
              <w:spacing w:before="18"/>
              <w:ind w:right="67"/>
              <w:jc w:val="right"/>
              <w:rPr>
                <w:b/>
                <w:sz w:val="16"/>
              </w:rPr>
            </w:pPr>
            <w:r>
              <w:rPr>
                <w:b/>
                <w:spacing w:val="-2"/>
                <w:sz w:val="16"/>
              </w:rPr>
              <w:t>5.040.888,77</w:t>
            </w:r>
          </w:p>
        </w:tc>
      </w:tr>
      <w:tr>
        <w:trPr>
          <w:trHeight w:val="226" w:hRule="atLeast"/>
        </w:trPr>
        <w:tc>
          <w:tcPr>
            <w:tcW w:w="3045" w:type="dxa"/>
          </w:tcPr>
          <w:p>
            <w:pPr>
              <w:pStyle w:val="TableParagraph"/>
              <w:spacing w:before="18"/>
              <w:ind w:left="230"/>
              <w:rPr>
                <w:sz w:val="16"/>
              </w:rPr>
            </w:pPr>
            <w:r>
              <w:rPr>
                <w:sz w:val="16"/>
              </w:rPr>
              <w:t>Obra</w:t>
            </w:r>
            <w:r>
              <w:rPr>
                <w:spacing w:val="-5"/>
                <w:sz w:val="16"/>
              </w:rPr>
              <w:t> </w:t>
            </w:r>
            <w:r>
              <w:rPr>
                <w:sz w:val="16"/>
              </w:rPr>
              <w:t>Fases</w:t>
            </w:r>
            <w:r>
              <w:rPr>
                <w:spacing w:val="-3"/>
                <w:sz w:val="16"/>
              </w:rPr>
              <w:t> </w:t>
            </w:r>
            <w:r>
              <w:rPr>
                <w:sz w:val="16"/>
              </w:rPr>
              <w:t>1</w:t>
            </w:r>
            <w:r>
              <w:rPr>
                <w:spacing w:val="-4"/>
                <w:sz w:val="16"/>
              </w:rPr>
              <w:t> </w:t>
            </w:r>
            <w:r>
              <w:rPr>
                <w:sz w:val="16"/>
              </w:rPr>
              <w:t>y</w:t>
            </w:r>
            <w:r>
              <w:rPr>
                <w:spacing w:val="-3"/>
                <w:sz w:val="16"/>
              </w:rPr>
              <w:t> </w:t>
            </w:r>
            <w:r>
              <w:rPr>
                <w:spacing w:val="-10"/>
                <w:sz w:val="16"/>
              </w:rPr>
              <w:t>2</w:t>
            </w:r>
          </w:p>
        </w:tc>
        <w:tc>
          <w:tcPr>
            <w:tcW w:w="1198" w:type="dxa"/>
          </w:tcPr>
          <w:p>
            <w:pPr>
              <w:pStyle w:val="TableParagraph"/>
              <w:spacing w:before="18"/>
              <w:ind w:right="119"/>
              <w:jc w:val="right"/>
              <w:rPr>
                <w:sz w:val="16"/>
              </w:rPr>
            </w:pPr>
            <w:r>
              <w:rPr>
                <w:spacing w:val="-2"/>
                <w:sz w:val="16"/>
              </w:rPr>
              <w:t>267.705.179,72</w:t>
            </w:r>
          </w:p>
        </w:tc>
        <w:tc>
          <w:tcPr>
            <w:tcW w:w="1232" w:type="dxa"/>
          </w:tcPr>
          <w:p>
            <w:pPr>
              <w:pStyle w:val="TableParagraph"/>
              <w:spacing w:before="18"/>
              <w:ind w:right="158"/>
              <w:jc w:val="right"/>
              <w:rPr>
                <w:sz w:val="16"/>
              </w:rPr>
            </w:pPr>
            <w:r>
              <w:rPr>
                <w:spacing w:val="-2"/>
                <w:sz w:val="16"/>
              </w:rPr>
              <w:t>2.749.502,91</w:t>
            </w:r>
          </w:p>
        </w:tc>
        <w:tc>
          <w:tcPr>
            <w:tcW w:w="1166" w:type="dxa"/>
          </w:tcPr>
          <w:p>
            <w:pPr>
              <w:pStyle w:val="TableParagraph"/>
              <w:spacing w:before="18"/>
              <w:ind w:right="69"/>
              <w:jc w:val="right"/>
              <w:rPr>
                <w:sz w:val="16"/>
              </w:rPr>
            </w:pPr>
            <w:r>
              <w:rPr>
                <w:spacing w:val="-2"/>
                <w:sz w:val="16"/>
              </w:rPr>
              <w:t>882.711,02</w:t>
            </w:r>
          </w:p>
        </w:tc>
        <w:tc>
          <w:tcPr>
            <w:tcW w:w="1255" w:type="dxa"/>
          </w:tcPr>
          <w:p>
            <w:pPr>
              <w:pStyle w:val="TableParagraph"/>
              <w:spacing w:before="18"/>
              <w:ind w:right="68"/>
              <w:jc w:val="right"/>
              <w:rPr>
                <w:b/>
                <w:sz w:val="16"/>
              </w:rPr>
            </w:pPr>
            <w:r>
              <w:rPr>
                <w:b/>
                <w:spacing w:val="-2"/>
                <w:sz w:val="16"/>
              </w:rPr>
              <w:t>271.337.393,65</w:t>
            </w:r>
          </w:p>
        </w:tc>
      </w:tr>
      <w:tr>
        <w:trPr>
          <w:trHeight w:val="226" w:hRule="atLeast"/>
        </w:trPr>
        <w:tc>
          <w:tcPr>
            <w:tcW w:w="3045" w:type="dxa"/>
          </w:tcPr>
          <w:p>
            <w:pPr>
              <w:pStyle w:val="TableParagraph"/>
              <w:spacing w:before="18"/>
              <w:ind w:right="290"/>
              <w:jc w:val="right"/>
              <w:rPr>
                <w:sz w:val="16"/>
              </w:rPr>
            </w:pPr>
            <w:r>
              <w:rPr>
                <w:sz w:val="16"/>
              </w:rPr>
              <w:t>Intermodalidad</w:t>
            </w:r>
            <w:r>
              <w:rPr>
                <w:spacing w:val="-5"/>
                <w:sz w:val="16"/>
              </w:rPr>
              <w:t> </w:t>
            </w:r>
            <w:r>
              <w:rPr>
                <w:sz w:val="16"/>
              </w:rPr>
              <w:t>-</w:t>
            </w:r>
            <w:r>
              <w:rPr>
                <w:spacing w:val="-5"/>
                <w:sz w:val="16"/>
              </w:rPr>
              <w:t> </w:t>
            </w:r>
            <w:r>
              <w:rPr>
                <w:sz w:val="16"/>
              </w:rPr>
              <w:t>Estación</w:t>
            </w:r>
            <w:r>
              <w:rPr>
                <w:spacing w:val="-4"/>
                <w:sz w:val="16"/>
              </w:rPr>
              <w:t> </w:t>
            </w:r>
            <w:r>
              <w:rPr>
                <w:sz w:val="16"/>
              </w:rPr>
              <w:t>de</w:t>
            </w:r>
            <w:r>
              <w:rPr>
                <w:spacing w:val="-6"/>
                <w:sz w:val="16"/>
              </w:rPr>
              <w:t> </w:t>
            </w:r>
            <w:r>
              <w:rPr>
                <w:spacing w:val="-2"/>
                <w:sz w:val="16"/>
              </w:rPr>
              <w:t>autobuses</w:t>
            </w:r>
          </w:p>
        </w:tc>
        <w:tc>
          <w:tcPr>
            <w:tcW w:w="1198" w:type="dxa"/>
          </w:tcPr>
          <w:p>
            <w:pPr>
              <w:pStyle w:val="TableParagraph"/>
              <w:spacing w:before="18"/>
              <w:ind w:right="119"/>
              <w:jc w:val="right"/>
              <w:rPr>
                <w:sz w:val="16"/>
              </w:rPr>
            </w:pPr>
            <w:r>
              <w:rPr>
                <w:spacing w:val="-2"/>
                <w:sz w:val="16"/>
              </w:rPr>
              <w:t>85.731,01</w:t>
            </w:r>
          </w:p>
        </w:tc>
        <w:tc>
          <w:tcPr>
            <w:tcW w:w="1232" w:type="dxa"/>
          </w:tcPr>
          <w:p>
            <w:pPr>
              <w:pStyle w:val="TableParagraph"/>
              <w:spacing w:before="18"/>
              <w:ind w:right="159"/>
              <w:jc w:val="right"/>
              <w:rPr>
                <w:sz w:val="16"/>
              </w:rPr>
            </w:pPr>
            <w:r>
              <w:rPr>
                <w:spacing w:val="-2"/>
                <w:sz w:val="16"/>
              </w:rPr>
              <w:t>427,82</w:t>
            </w:r>
          </w:p>
        </w:tc>
        <w:tc>
          <w:tcPr>
            <w:tcW w:w="1166" w:type="dxa"/>
          </w:tcPr>
          <w:p>
            <w:pPr>
              <w:pStyle w:val="TableParagraph"/>
              <w:spacing w:before="18"/>
              <w:ind w:right="69"/>
              <w:jc w:val="right"/>
              <w:rPr>
                <w:sz w:val="16"/>
              </w:rPr>
            </w:pPr>
            <w:r>
              <w:rPr>
                <w:spacing w:val="-2"/>
                <w:sz w:val="16"/>
              </w:rPr>
              <w:t>18,15</w:t>
            </w:r>
          </w:p>
        </w:tc>
        <w:tc>
          <w:tcPr>
            <w:tcW w:w="1255" w:type="dxa"/>
          </w:tcPr>
          <w:p>
            <w:pPr>
              <w:pStyle w:val="TableParagraph"/>
              <w:spacing w:before="18"/>
              <w:ind w:right="67"/>
              <w:jc w:val="right"/>
              <w:rPr>
                <w:b/>
                <w:sz w:val="16"/>
              </w:rPr>
            </w:pPr>
            <w:r>
              <w:rPr>
                <w:b/>
                <w:spacing w:val="-2"/>
                <w:sz w:val="16"/>
              </w:rPr>
              <w:t>86.176,98</w:t>
            </w:r>
          </w:p>
        </w:tc>
      </w:tr>
      <w:tr>
        <w:trPr>
          <w:trHeight w:val="226" w:hRule="atLeast"/>
        </w:trPr>
        <w:tc>
          <w:tcPr>
            <w:tcW w:w="3045" w:type="dxa"/>
          </w:tcPr>
          <w:p>
            <w:pPr>
              <w:pStyle w:val="TableParagraph"/>
              <w:spacing w:before="18"/>
              <w:ind w:left="230"/>
              <w:rPr>
                <w:sz w:val="16"/>
              </w:rPr>
            </w:pPr>
            <w:r>
              <w:rPr>
                <w:sz w:val="16"/>
              </w:rPr>
              <w:t>Aparcamiento</w:t>
            </w:r>
            <w:r>
              <w:rPr>
                <w:spacing w:val="-8"/>
                <w:sz w:val="16"/>
              </w:rPr>
              <w:t> </w:t>
            </w:r>
            <w:r>
              <w:rPr>
                <w:sz w:val="16"/>
              </w:rPr>
              <w:t>estación</w:t>
            </w:r>
            <w:r>
              <w:rPr>
                <w:spacing w:val="-8"/>
                <w:sz w:val="16"/>
              </w:rPr>
              <w:t> </w:t>
            </w:r>
            <w:r>
              <w:rPr>
                <w:spacing w:val="-2"/>
                <w:sz w:val="16"/>
              </w:rPr>
              <w:t>intermodal</w:t>
            </w:r>
          </w:p>
        </w:tc>
        <w:tc>
          <w:tcPr>
            <w:tcW w:w="1198" w:type="dxa"/>
          </w:tcPr>
          <w:p>
            <w:pPr>
              <w:pStyle w:val="TableParagraph"/>
              <w:spacing w:before="18"/>
              <w:ind w:right="119"/>
              <w:jc w:val="right"/>
              <w:rPr>
                <w:sz w:val="16"/>
              </w:rPr>
            </w:pPr>
            <w:r>
              <w:rPr>
                <w:spacing w:val="-2"/>
                <w:sz w:val="16"/>
              </w:rPr>
              <w:t>10.500,00</w:t>
            </w:r>
          </w:p>
        </w:tc>
        <w:tc>
          <w:tcPr>
            <w:tcW w:w="1232" w:type="dxa"/>
          </w:tcPr>
          <w:p>
            <w:pPr>
              <w:pStyle w:val="TableParagraph"/>
              <w:spacing w:before="18"/>
              <w:ind w:right="159"/>
              <w:jc w:val="right"/>
              <w:rPr>
                <w:sz w:val="16"/>
              </w:rPr>
            </w:pPr>
            <w:r>
              <w:rPr>
                <w:spacing w:val="-2"/>
                <w:sz w:val="16"/>
              </w:rPr>
              <w:t>122,46</w:t>
            </w:r>
          </w:p>
        </w:tc>
        <w:tc>
          <w:tcPr>
            <w:tcW w:w="1166" w:type="dxa"/>
          </w:tcPr>
          <w:p>
            <w:pPr>
              <w:pStyle w:val="TableParagraph"/>
              <w:spacing w:before="18"/>
              <w:ind w:right="69"/>
              <w:jc w:val="right"/>
              <w:rPr>
                <w:sz w:val="16"/>
              </w:rPr>
            </w:pPr>
            <w:r>
              <w:rPr>
                <w:spacing w:val="-2"/>
                <w:sz w:val="16"/>
              </w:rPr>
              <w:t>45,38</w:t>
            </w:r>
          </w:p>
        </w:tc>
        <w:tc>
          <w:tcPr>
            <w:tcW w:w="1255" w:type="dxa"/>
          </w:tcPr>
          <w:p>
            <w:pPr>
              <w:pStyle w:val="TableParagraph"/>
              <w:spacing w:before="18"/>
              <w:ind w:right="67"/>
              <w:jc w:val="right"/>
              <w:rPr>
                <w:b/>
                <w:sz w:val="16"/>
              </w:rPr>
            </w:pPr>
            <w:r>
              <w:rPr>
                <w:b/>
                <w:spacing w:val="-2"/>
                <w:sz w:val="16"/>
              </w:rPr>
              <w:t>10.667,84</w:t>
            </w:r>
          </w:p>
        </w:tc>
      </w:tr>
      <w:tr>
        <w:trPr>
          <w:trHeight w:val="224" w:hRule="atLeast"/>
        </w:trPr>
        <w:tc>
          <w:tcPr>
            <w:tcW w:w="3045" w:type="dxa"/>
          </w:tcPr>
          <w:p>
            <w:pPr>
              <w:pStyle w:val="TableParagraph"/>
              <w:spacing w:before="18"/>
              <w:ind w:left="70"/>
              <w:rPr>
                <w:sz w:val="16"/>
              </w:rPr>
            </w:pPr>
            <w:r>
              <w:rPr>
                <w:spacing w:val="-2"/>
                <w:sz w:val="16"/>
              </w:rPr>
              <w:t>Actuaciones</w:t>
            </w:r>
            <w:r>
              <w:rPr>
                <w:spacing w:val="11"/>
                <w:sz w:val="16"/>
              </w:rPr>
              <w:t> </w:t>
            </w:r>
            <w:r>
              <w:rPr>
                <w:spacing w:val="-2"/>
                <w:sz w:val="16"/>
              </w:rPr>
              <w:t>urbanísticas-</w:t>
            </w:r>
            <w:r>
              <w:rPr>
                <w:spacing w:val="12"/>
                <w:sz w:val="16"/>
              </w:rPr>
              <w:t> </w:t>
            </w:r>
            <w:r>
              <w:rPr>
                <w:spacing w:val="-2"/>
                <w:sz w:val="16"/>
              </w:rPr>
              <w:t>Proyectos</w:t>
            </w:r>
          </w:p>
        </w:tc>
        <w:tc>
          <w:tcPr>
            <w:tcW w:w="1198" w:type="dxa"/>
            <w:tcBorders>
              <w:bottom w:val="single" w:sz="8" w:space="0" w:color="000000"/>
            </w:tcBorders>
          </w:tcPr>
          <w:p>
            <w:pPr>
              <w:pStyle w:val="TableParagraph"/>
              <w:spacing w:before="18"/>
              <w:ind w:right="119"/>
              <w:jc w:val="right"/>
              <w:rPr>
                <w:sz w:val="16"/>
              </w:rPr>
            </w:pPr>
            <w:r>
              <w:rPr>
                <w:spacing w:val="-2"/>
                <w:sz w:val="16"/>
              </w:rPr>
              <w:t>978.619,48</w:t>
            </w:r>
          </w:p>
        </w:tc>
        <w:tc>
          <w:tcPr>
            <w:tcW w:w="1232" w:type="dxa"/>
            <w:tcBorders>
              <w:bottom w:val="single" w:sz="8" w:space="0" w:color="000000"/>
            </w:tcBorders>
          </w:tcPr>
          <w:p>
            <w:pPr>
              <w:pStyle w:val="TableParagraph"/>
              <w:spacing w:before="18"/>
              <w:ind w:right="159"/>
              <w:jc w:val="right"/>
              <w:rPr>
                <w:sz w:val="16"/>
              </w:rPr>
            </w:pPr>
            <w:r>
              <w:rPr>
                <w:spacing w:val="-2"/>
                <w:sz w:val="16"/>
              </w:rPr>
              <w:t>9.737,22</w:t>
            </w:r>
          </w:p>
        </w:tc>
        <w:tc>
          <w:tcPr>
            <w:tcW w:w="1166" w:type="dxa"/>
            <w:tcBorders>
              <w:bottom w:val="single" w:sz="8" w:space="0" w:color="000000"/>
            </w:tcBorders>
          </w:tcPr>
          <w:p>
            <w:pPr>
              <w:pStyle w:val="TableParagraph"/>
              <w:spacing w:before="18"/>
              <w:ind w:right="69"/>
              <w:jc w:val="right"/>
              <w:rPr>
                <w:sz w:val="16"/>
              </w:rPr>
            </w:pPr>
            <w:r>
              <w:rPr>
                <w:spacing w:val="-2"/>
                <w:sz w:val="16"/>
              </w:rPr>
              <w:t>2.904,55</w:t>
            </w:r>
          </w:p>
        </w:tc>
        <w:tc>
          <w:tcPr>
            <w:tcW w:w="1255" w:type="dxa"/>
            <w:tcBorders>
              <w:bottom w:val="single" w:sz="8" w:space="0" w:color="000000"/>
            </w:tcBorders>
          </w:tcPr>
          <w:p>
            <w:pPr>
              <w:pStyle w:val="TableParagraph"/>
              <w:spacing w:before="18"/>
              <w:ind w:right="67"/>
              <w:jc w:val="right"/>
              <w:rPr>
                <w:b/>
                <w:sz w:val="16"/>
              </w:rPr>
            </w:pPr>
            <w:r>
              <w:rPr>
                <w:b/>
                <w:spacing w:val="-2"/>
                <w:sz w:val="16"/>
              </w:rPr>
              <w:t>991.261,25</w:t>
            </w:r>
          </w:p>
        </w:tc>
      </w:tr>
      <w:tr>
        <w:trPr>
          <w:trHeight w:val="227" w:hRule="atLeast"/>
        </w:trPr>
        <w:tc>
          <w:tcPr>
            <w:tcW w:w="3045" w:type="dxa"/>
          </w:tcPr>
          <w:p>
            <w:pPr>
              <w:pStyle w:val="TableParagraph"/>
              <w:spacing w:before="20"/>
              <w:ind w:left="7"/>
              <w:jc w:val="center"/>
              <w:rPr>
                <w:b/>
                <w:sz w:val="16"/>
              </w:rPr>
            </w:pPr>
            <w:r>
              <w:rPr>
                <w:b/>
                <w:spacing w:val="-2"/>
                <w:sz w:val="16"/>
              </w:rPr>
              <w:t>Total</w:t>
            </w:r>
          </w:p>
        </w:tc>
        <w:tc>
          <w:tcPr>
            <w:tcW w:w="1198" w:type="dxa"/>
            <w:tcBorders>
              <w:top w:val="single" w:sz="8" w:space="0" w:color="000000"/>
              <w:bottom w:val="double" w:sz="6" w:space="0" w:color="000000"/>
            </w:tcBorders>
          </w:tcPr>
          <w:p>
            <w:pPr>
              <w:pStyle w:val="TableParagraph"/>
              <w:spacing w:before="20"/>
              <w:ind w:right="119"/>
              <w:jc w:val="right"/>
              <w:rPr>
                <w:b/>
                <w:sz w:val="16"/>
              </w:rPr>
            </w:pPr>
            <w:r>
              <w:rPr>
                <w:b/>
                <w:spacing w:val="-2"/>
                <w:sz w:val="16"/>
              </w:rPr>
              <w:t>273.739.580,07</w:t>
            </w:r>
          </w:p>
        </w:tc>
        <w:tc>
          <w:tcPr>
            <w:tcW w:w="1232" w:type="dxa"/>
            <w:tcBorders>
              <w:top w:val="single" w:sz="8" w:space="0" w:color="000000"/>
              <w:bottom w:val="double" w:sz="6" w:space="0" w:color="000000"/>
            </w:tcBorders>
          </w:tcPr>
          <w:p>
            <w:pPr>
              <w:pStyle w:val="TableParagraph"/>
              <w:spacing w:before="20"/>
              <w:ind w:right="158"/>
              <w:jc w:val="right"/>
              <w:rPr>
                <w:b/>
                <w:sz w:val="16"/>
              </w:rPr>
            </w:pPr>
            <w:r>
              <w:rPr>
                <w:b/>
                <w:spacing w:val="-2"/>
                <w:sz w:val="16"/>
              </w:rPr>
              <w:t>2.819.136,42</w:t>
            </w:r>
          </w:p>
        </w:tc>
        <w:tc>
          <w:tcPr>
            <w:tcW w:w="1166" w:type="dxa"/>
            <w:tcBorders>
              <w:top w:val="single" w:sz="8" w:space="0" w:color="000000"/>
              <w:bottom w:val="double" w:sz="6" w:space="0" w:color="000000"/>
            </w:tcBorders>
          </w:tcPr>
          <w:p>
            <w:pPr>
              <w:pStyle w:val="TableParagraph"/>
              <w:spacing w:before="20"/>
              <w:ind w:right="69"/>
              <w:jc w:val="right"/>
              <w:rPr>
                <w:b/>
                <w:sz w:val="16"/>
              </w:rPr>
            </w:pPr>
            <w:r>
              <w:rPr>
                <w:b/>
                <w:spacing w:val="-2"/>
                <w:sz w:val="16"/>
              </w:rPr>
              <w:t>907.672,00</w:t>
            </w:r>
          </w:p>
        </w:tc>
        <w:tc>
          <w:tcPr>
            <w:tcW w:w="1255" w:type="dxa"/>
            <w:tcBorders>
              <w:top w:val="single" w:sz="8" w:space="0" w:color="000000"/>
              <w:bottom w:val="double" w:sz="6" w:space="0" w:color="000000"/>
            </w:tcBorders>
          </w:tcPr>
          <w:p>
            <w:pPr>
              <w:pStyle w:val="TableParagraph"/>
              <w:spacing w:before="20"/>
              <w:ind w:right="68"/>
              <w:jc w:val="right"/>
              <w:rPr>
                <w:b/>
                <w:sz w:val="16"/>
              </w:rPr>
            </w:pPr>
            <w:r>
              <w:rPr>
                <w:b/>
                <w:spacing w:val="-2"/>
                <w:sz w:val="16"/>
              </w:rPr>
              <w:t>277.466.388,49</w:t>
            </w:r>
          </w:p>
        </w:tc>
      </w:tr>
    </w:tbl>
    <w:p>
      <w:pPr>
        <w:pStyle w:val="TableParagraph"/>
        <w:spacing w:after="0"/>
        <w:jc w:val="right"/>
        <w:rPr>
          <w:b/>
          <w:sz w:val="16"/>
        </w:rPr>
        <w:sectPr>
          <w:pgSz w:w="11910" w:h="16840"/>
          <w:pgMar w:header="694" w:footer="690" w:top="1920" w:bottom="880" w:left="708" w:right="425"/>
        </w:sectPr>
      </w:pPr>
    </w:p>
    <w:p>
      <w:pPr>
        <w:pStyle w:val="BodyText"/>
        <w:spacing w:before="186"/>
      </w:pPr>
    </w:p>
    <w:p>
      <w:pPr>
        <w:pStyle w:val="BodyText"/>
        <w:spacing w:line="247" w:lineRule="auto"/>
        <w:ind w:left="995" w:right="794"/>
      </w:pPr>
      <w:r>
        <w:rPr/>
        <w:t>El</w:t>
      </w:r>
      <w:r>
        <w:rPr>
          <w:spacing w:val="-6"/>
        </w:rPr>
        <w:t> </w:t>
      </w:r>
      <w:r>
        <w:rPr/>
        <w:t>detalle</w:t>
      </w:r>
      <w:r>
        <w:rPr>
          <w:spacing w:val="-4"/>
        </w:rPr>
        <w:t> </w:t>
      </w:r>
      <w:r>
        <w:rPr/>
        <w:t>de</w:t>
      </w:r>
      <w:r>
        <w:rPr>
          <w:spacing w:val="-14"/>
        </w:rPr>
        <w:t> </w:t>
      </w:r>
      <w:r>
        <w:rPr/>
        <w:t>las</w:t>
      </w:r>
      <w:r>
        <w:rPr>
          <w:spacing w:val="-5"/>
        </w:rPr>
        <w:t> </w:t>
      </w:r>
      <w:r>
        <w:rPr/>
        <w:t>existencias</w:t>
      </w:r>
      <w:r>
        <w:rPr>
          <w:spacing w:val="-4"/>
        </w:rPr>
        <w:t> </w:t>
      </w:r>
      <w:r>
        <w:rPr/>
        <w:t>aplicando</w:t>
      </w:r>
      <w:r>
        <w:rPr>
          <w:spacing w:val="-5"/>
        </w:rPr>
        <w:t> </w:t>
      </w:r>
      <w:r>
        <w:rPr/>
        <w:t>los</w:t>
      </w:r>
      <w:r>
        <w:rPr>
          <w:spacing w:val="-6"/>
        </w:rPr>
        <w:t> </w:t>
      </w:r>
      <w:r>
        <w:rPr/>
        <w:t>gastos</w:t>
      </w:r>
      <w:r>
        <w:rPr>
          <w:spacing w:val="-5"/>
        </w:rPr>
        <w:t> </w:t>
      </w:r>
      <w:r>
        <w:rPr/>
        <w:t>financieros</w:t>
      </w:r>
      <w:r>
        <w:rPr>
          <w:spacing w:val="-5"/>
        </w:rPr>
        <w:t> </w:t>
      </w:r>
      <w:r>
        <w:rPr/>
        <w:t>y</w:t>
      </w:r>
      <w:r>
        <w:rPr>
          <w:spacing w:val="-5"/>
        </w:rPr>
        <w:t> </w:t>
      </w:r>
      <w:r>
        <w:rPr/>
        <w:t>otros</w:t>
      </w:r>
      <w:r>
        <w:rPr>
          <w:spacing w:val="-6"/>
        </w:rPr>
        <w:t> </w:t>
      </w:r>
      <w:r>
        <w:rPr/>
        <w:t>gastos</w:t>
      </w:r>
      <w:r>
        <w:rPr>
          <w:spacing w:val="-5"/>
        </w:rPr>
        <w:t> </w:t>
      </w:r>
      <w:r>
        <w:rPr/>
        <w:t>operativos</w:t>
      </w:r>
      <w:r>
        <w:rPr>
          <w:spacing w:val="-4"/>
        </w:rPr>
        <w:t> </w:t>
      </w:r>
      <w:r>
        <w:rPr/>
        <w:t>para</w:t>
      </w:r>
      <w:r>
        <w:rPr>
          <w:spacing w:val="-5"/>
        </w:rPr>
        <w:t> </w:t>
      </w:r>
      <w:r>
        <w:rPr/>
        <w:t>el</w:t>
      </w:r>
      <w:r>
        <w:rPr>
          <w:spacing w:val="-5"/>
        </w:rPr>
        <w:t> </w:t>
      </w:r>
      <w:r>
        <w:rPr/>
        <w:t>ejercicio 2024 es el siguiente:</w:t>
      </w:r>
    </w:p>
    <w:p>
      <w:pPr>
        <w:pStyle w:val="BodyText"/>
        <w:spacing w:before="44"/>
        <w:rPr>
          <w:sz w:val="20"/>
        </w:rPr>
      </w:pPr>
    </w:p>
    <w:tbl>
      <w:tblPr>
        <w:tblW w:w="0" w:type="auto"/>
        <w:jc w:val="left"/>
        <w:tblInd w:w="1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44"/>
        <w:gridCol w:w="1198"/>
        <w:gridCol w:w="1232"/>
        <w:gridCol w:w="1166"/>
        <w:gridCol w:w="1860"/>
      </w:tblGrid>
      <w:tr>
        <w:trPr>
          <w:trHeight w:val="198" w:hRule="atLeast"/>
        </w:trPr>
        <w:tc>
          <w:tcPr>
            <w:tcW w:w="8500" w:type="dxa"/>
            <w:gridSpan w:val="5"/>
          </w:tcPr>
          <w:p>
            <w:pPr>
              <w:pStyle w:val="TableParagraph"/>
              <w:spacing w:line="177" w:lineRule="exact"/>
              <w:ind w:left="3740"/>
              <w:rPr>
                <w:b/>
                <w:sz w:val="16"/>
              </w:rPr>
            </w:pPr>
            <w:r>
              <w:rPr>
                <w:b/>
                <w:sz w:val="16"/>
              </w:rPr>
              <w:t>Importes</w:t>
            </w:r>
            <w:r>
              <w:rPr>
                <w:b/>
                <w:spacing w:val="-7"/>
                <w:sz w:val="16"/>
              </w:rPr>
              <w:t> </w:t>
            </w:r>
            <w:r>
              <w:rPr>
                <w:b/>
                <w:sz w:val="16"/>
              </w:rPr>
              <w:t>acumulados</w:t>
            </w:r>
            <w:r>
              <w:rPr>
                <w:b/>
                <w:spacing w:val="-6"/>
                <w:sz w:val="16"/>
              </w:rPr>
              <w:t> </w:t>
            </w:r>
            <w:r>
              <w:rPr>
                <w:b/>
                <w:sz w:val="16"/>
              </w:rPr>
              <w:t>a</w:t>
            </w:r>
            <w:r>
              <w:rPr>
                <w:b/>
                <w:spacing w:val="-6"/>
                <w:sz w:val="16"/>
              </w:rPr>
              <w:t> </w:t>
            </w:r>
            <w:r>
              <w:rPr>
                <w:b/>
                <w:spacing w:val="-2"/>
                <w:sz w:val="16"/>
              </w:rPr>
              <w:t>1/1/2024</w:t>
            </w:r>
          </w:p>
        </w:tc>
      </w:tr>
      <w:tr>
        <w:trPr>
          <w:trHeight w:val="368" w:hRule="atLeast"/>
        </w:trPr>
        <w:tc>
          <w:tcPr>
            <w:tcW w:w="3044" w:type="dxa"/>
            <w:tcBorders>
              <w:bottom w:val="single" w:sz="8" w:space="0" w:color="000000"/>
            </w:tcBorders>
          </w:tcPr>
          <w:p>
            <w:pPr>
              <w:pStyle w:val="TableParagraph"/>
              <w:spacing w:before="92"/>
              <w:ind w:left="6" w:right="3"/>
              <w:jc w:val="center"/>
              <w:rPr>
                <w:b/>
                <w:sz w:val="16"/>
              </w:rPr>
            </w:pPr>
            <w:r>
              <w:rPr>
                <w:b/>
                <w:spacing w:val="-2"/>
                <w:sz w:val="16"/>
              </w:rPr>
              <w:t>Concepto</w:t>
            </w:r>
          </w:p>
        </w:tc>
        <w:tc>
          <w:tcPr>
            <w:tcW w:w="1198" w:type="dxa"/>
            <w:tcBorders>
              <w:top w:val="single" w:sz="8" w:space="0" w:color="000000"/>
              <w:bottom w:val="single" w:sz="8" w:space="0" w:color="000000"/>
            </w:tcBorders>
          </w:tcPr>
          <w:p>
            <w:pPr>
              <w:pStyle w:val="TableParagraph"/>
              <w:spacing w:before="92"/>
              <w:ind w:left="164"/>
              <w:rPr>
                <w:b/>
                <w:sz w:val="16"/>
              </w:rPr>
            </w:pPr>
            <w:r>
              <w:rPr>
                <w:b/>
                <w:spacing w:val="-2"/>
                <w:sz w:val="16"/>
              </w:rPr>
              <w:t>Actuaciones</w:t>
            </w:r>
          </w:p>
        </w:tc>
        <w:tc>
          <w:tcPr>
            <w:tcW w:w="1232" w:type="dxa"/>
            <w:tcBorders>
              <w:top w:val="single" w:sz="8" w:space="0" w:color="000000"/>
              <w:bottom w:val="single" w:sz="8" w:space="0" w:color="000000"/>
            </w:tcBorders>
          </w:tcPr>
          <w:p>
            <w:pPr>
              <w:pStyle w:val="TableParagraph"/>
              <w:spacing w:line="184" w:lineRule="exact"/>
              <w:ind w:left="190" w:right="252" w:hanging="69"/>
              <w:rPr>
                <w:b/>
                <w:sz w:val="16"/>
              </w:rPr>
            </w:pPr>
            <w:r>
              <w:rPr>
                <w:b/>
                <w:sz w:val="16"/>
              </w:rPr>
              <w:t>Otros</w:t>
            </w:r>
            <w:r>
              <w:rPr>
                <w:b/>
                <w:spacing w:val="-10"/>
                <w:sz w:val="16"/>
              </w:rPr>
              <w:t> </w:t>
            </w:r>
            <w:r>
              <w:rPr>
                <w:b/>
                <w:sz w:val="16"/>
              </w:rPr>
              <w:t>gastos</w:t>
            </w:r>
            <w:r>
              <w:rPr>
                <w:b/>
                <w:spacing w:val="40"/>
                <w:sz w:val="16"/>
              </w:rPr>
              <w:t> </w:t>
            </w:r>
            <w:r>
              <w:rPr>
                <w:b/>
                <w:spacing w:val="-2"/>
                <w:sz w:val="16"/>
              </w:rPr>
              <w:t>operativos</w:t>
            </w:r>
          </w:p>
        </w:tc>
        <w:tc>
          <w:tcPr>
            <w:tcW w:w="1166" w:type="dxa"/>
            <w:tcBorders>
              <w:top w:val="single" w:sz="8" w:space="0" w:color="000000"/>
              <w:bottom w:val="single" w:sz="8" w:space="0" w:color="000000"/>
            </w:tcBorders>
          </w:tcPr>
          <w:p>
            <w:pPr>
              <w:pStyle w:val="TableParagraph"/>
              <w:spacing w:line="184" w:lineRule="exact"/>
              <w:ind w:left="160" w:firstLine="146"/>
              <w:rPr>
                <w:b/>
                <w:sz w:val="16"/>
              </w:rPr>
            </w:pPr>
            <w:r>
              <w:rPr>
                <w:b/>
                <w:spacing w:val="-2"/>
                <w:sz w:val="16"/>
              </w:rPr>
              <w:t>Gastos</w:t>
            </w:r>
            <w:r>
              <w:rPr>
                <w:b/>
                <w:spacing w:val="40"/>
                <w:sz w:val="16"/>
              </w:rPr>
              <w:t> </w:t>
            </w:r>
            <w:r>
              <w:rPr>
                <w:b/>
                <w:spacing w:val="-2"/>
                <w:sz w:val="16"/>
              </w:rPr>
              <w:t>financieros</w:t>
            </w:r>
          </w:p>
        </w:tc>
        <w:tc>
          <w:tcPr>
            <w:tcW w:w="1860" w:type="dxa"/>
            <w:tcBorders>
              <w:bottom w:val="single" w:sz="8" w:space="0" w:color="000000"/>
            </w:tcBorders>
          </w:tcPr>
          <w:p>
            <w:pPr>
              <w:pStyle w:val="TableParagraph"/>
              <w:spacing w:line="153" w:lineRule="exact"/>
              <w:ind w:left="746"/>
              <w:rPr>
                <w:b/>
                <w:sz w:val="16"/>
              </w:rPr>
            </w:pPr>
            <w:r>
              <w:rPr>
                <w:b/>
                <w:spacing w:val="-2"/>
                <w:sz w:val="16"/>
              </w:rPr>
              <w:t>Total</w:t>
            </w:r>
          </w:p>
        </w:tc>
      </w:tr>
      <w:tr>
        <w:trPr>
          <w:trHeight w:val="229" w:hRule="atLeast"/>
        </w:trPr>
        <w:tc>
          <w:tcPr>
            <w:tcW w:w="3044" w:type="dxa"/>
            <w:tcBorders>
              <w:top w:val="single" w:sz="8" w:space="0" w:color="000000"/>
            </w:tcBorders>
          </w:tcPr>
          <w:p>
            <w:pPr>
              <w:pStyle w:val="TableParagraph"/>
              <w:spacing w:before="20"/>
              <w:ind w:left="69"/>
              <w:rPr>
                <w:sz w:val="16"/>
              </w:rPr>
            </w:pPr>
            <w:r>
              <w:rPr>
                <w:sz w:val="16"/>
              </w:rPr>
              <w:t>Actuaciones</w:t>
            </w:r>
            <w:r>
              <w:rPr>
                <w:spacing w:val="-7"/>
                <w:sz w:val="16"/>
              </w:rPr>
              <w:t> </w:t>
            </w:r>
            <w:r>
              <w:rPr>
                <w:sz w:val="16"/>
              </w:rPr>
              <w:t>de</w:t>
            </w:r>
            <w:r>
              <w:rPr>
                <w:spacing w:val="-6"/>
                <w:sz w:val="16"/>
              </w:rPr>
              <w:t> </w:t>
            </w:r>
            <w:r>
              <w:rPr>
                <w:spacing w:val="-2"/>
                <w:sz w:val="16"/>
              </w:rPr>
              <w:t>integración</w:t>
            </w:r>
          </w:p>
        </w:tc>
        <w:tc>
          <w:tcPr>
            <w:tcW w:w="1198" w:type="dxa"/>
            <w:tcBorders>
              <w:top w:val="single" w:sz="8" w:space="0" w:color="000000"/>
            </w:tcBorders>
          </w:tcPr>
          <w:p>
            <w:pPr>
              <w:pStyle w:val="TableParagraph"/>
              <w:rPr>
                <w:sz w:val="16"/>
              </w:rPr>
            </w:pPr>
          </w:p>
        </w:tc>
        <w:tc>
          <w:tcPr>
            <w:tcW w:w="1232" w:type="dxa"/>
            <w:tcBorders>
              <w:top w:val="single" w:sz="8" w:space="0" w:color="000000"/>
            </w:tcBorders>
          </w:tcPr>
          <w:p>
            <w:pPr>
              <w:pStyle w:val="TableParagraph"/>
              <w:rPr>
                <w:sz w:val="16"/>
              </w:rPr>
            </w:pPr>
          </w:p>
        </w:tc>
        <w:tc>
          <w:tcPr>
            <w:tcW w:w="1166" w:type="dxa"/>
            <w:tcBorders>
              <w:top w:val="single" w:sz="8" w:space="0" w:color="000000"/>
            </w:tcBorders>
          </w:tcPr>
          <w:p>
            <w:pPr>
              <w:pStyle w:val="TableParagraph"/>
              <w:rPr>
                <w:sz w:val="16"/>
              </w:rPr>
            </w:pPr>
          </w:p>
        </w:tc>
        <w:tc>
          <w:tcPr>
            <w:tcW w:w="1860" w:type="dxa"/>
            <w:tcBorders>
              <w:top w:val="single" w:sz="8" w:space="0" w:color="000000"/>
            </w:tcBorders>
          </w:tcPr>
          <w:p>
            <w:pPr>
              <w:pStyle w:val="TableParagraph"/>
              <w:rPr>
                <w:sz w:val="16"/>
              </w:rPr>
            </w:pPr>
          </w:p>
        </w:tc>
      </w:tr>
      <w:tr>
        <w:trPr>
          <w:trHeight w:val="227" w:hRule="atLeast"/>
        </w:trPr>
        <w:tc>
          <w:tcPr>
            <w:tcW w:w="3044" w:type="dxa"/>
          </w:tcPr>
          <w:p>
            <w:pPr>
              <w:pStyle w:val="TableParagraph"/>
              <w:spacing w:before="18"/>
              <w:ind w:left="229"/>
              <w:rPr>
                <w:sz w:val="16"/>
              </w:rPr>
            </w:pPr>
            <w:r>
              <w:rPr>
                <w:sz w:val="16"/>
              </w:rPr>
              <w:t>Proyectos</w:t>
            </w:r>
            <w:r>
              <w:rPr>
                <w:spacing w:val="-8"/>
                <w:sz w:val="16"/>
              </w:rPr>
              <w:t> </w:t>
            </w:r>
            <w:r>
              <w:rPr>
                <w:spacing w:val="-2"/>
                <w:sz w:val="16"/>
              </w:rPr>
              <w:t>ferroviarios</w:t>
            </w:r>
          </w:p>
        </w:tc>
        <w:tc>
          <w:tcPr>
            <w:tcW w:w="1198" w:type="dxa"/>
          </w:tcPr>
          <w:p>
            <w:pPr>
              <w:pStyle w:val="TableParagraph"/>
              <w:spacing w:before="18"/>
              <w:ind w:right="118"/>
              <w:jc w:val="right"/>
              <w:rPr>
                <w:sz w:val="16"/>
              </w:rPr>
            </w:pPr>
            <w:r>
              <w:rPr>
                <w:spacing w:val="-2"/>
                <w:sz w:val="16"/>
              </w:rPr>
              <w:t>4.959.549,86</w:t>
            </w:r>
          </w:p>
        </w:tc>
        <w:tc>
          <w:tcPr>
            <w:tcW w:w="1232" w:type="dxa"/>
          </w:tcPr>
          <w:p>
            <w:pPr>
              <w:pStyle w:val="TableParagraph"/>
              <w:spacing w:before="18"/>
              <w:ind w:right="157"/>
              <w:jc w:val="right"/>
              <w:rPr>
                <w:sz w:val="16"/>
              </w:rPr>
            </w:pPr>
            <w:r>
              <w:rPr>
                <w:spacing w:val="-2"/>
                <w:sz w:val="16"/>
              </w:rPr>
              <w:t>59.346,01</w:t>
            </w:r>
          </w:p>
        </w:tc>
        <w:tc>
          <w:tcPr>
            <w:tcW w:w="1166" w:type="dxa"/>
          </w:tcPr>
          <w:p>
            <w:pPr>
              <w:pStyle w:val="TableParagraph"/>
              <w:spacing w:before="18"/>
              <w:ind w:right="68"/>
              <w:jc w:val="right"/>
              <w:rPr>
                <w:sz w:val="16"/>
              </w:rPr>
            </w:pPr>
            <w:r>
              <w:rPr>
                <w:spacing w:val="-2"/>
                <w:sz w:val="16"/>
              </w:rPr>
              <w:t>21.992,90</w:t>
            </w:r>
          </w:p>
        </w:tc>
        <w:tc>
          <w:tcPr>
            <w:tcW w:w="1860" w:type="dxa"/>
          </w:tcPr>
          <w:p>
            <w:pPr>
              <w:pStyle w:val="TableParagraph"/>
              <w:spacing w:before="18"/>
              <w:ind w:right="68"/>
              <w:jc w:val="right"/>
              <w:rPr>
                <w:b/>
                <w:sz w:val="16"/>
              </w:rPr>
            </w:pPr>
            <w:r>
              <w:rPr>
                <w:b/>
                <w:spacing w:val="-2"/>
                <w:sz w:val="16"/>
              </w:rPr>
              <w:t>5.040.888,77</w:t>
            </w:r>
          </w:p>
        </w:tc>
      </w:tr>
      <w:tr>
        <w:trPr>
          <w:trHeight w:val="227" w:hRule="atLeast"/>
        </w:trPr>
        <w:tc>
          <w:tcPr>
            <w:tcW w:w="3044" w:type="dxa"/>
          </w:tcPr>
          <w:p>
            <w:pPr>
              <w:pStyle w:val="TableParagraph"/>
              <w:spacing w:before="18"/>
              <w:ind w:left="229"/>
              <w:rPr>
                <w:sz w:val="16"/>
              </w:rPr>
            </w:pPr>
            <w:r>
              <w:rPr>
                <w:sz w:val="16"/>
              </w:rPr>
              <w:t>Obra</w:t>
            </w:r>
            <w:r>
              <w:rPr>
                <w:spacing w:val="-5"/>
                <w:sz w:val="16"/>
              </w:rPr>
              <w:t> </w:t>
            </w:r>
            <w:r>
              <w:rPr>
                <w:sz w:val="16"/>
              </w:rPr>
              <w:t>Fases</w:t>
            </w:r>
            <w:r>
              <w:rPr>
                <w:spacing w:val="-3"/>
                <w:sz w:val="16"/>
              </w:rPr>
              <w:t> </w:t>
            </w:r>
            <w:r>
              <w:rPr>
                <w:sz w:val="16"/>
              </w:rPr>
              <w:t>1</w:t>
            </w:r>
            <w:r>
              <w:rPr>
                <w:spacing w:val="-4"/>
                <w:sz w:val="16"/>
              </w:rPr>
              <w:t> </w:t>
            </w:r>
            <w:r>
              <w:rPr>
                <w:sz w:val="16"/>
              </w:rPr>
              <w:t>y</w:t>
            </w:r>
            <w:r>
              <w:rPr>
                <w:spacing w:val="-3"/>
                <w:sz w:val="16"/>
              </w:rPr>
              <w:t> </w:t>
            </w:r>
            <w:r>
              <w:rPr>
                <w:spacing w:val="-10"/>
                <w:sz w:val="16"/>
              </w:rPr>
              <w:t>2</w:t>
            </w:r>
          </w:p>
        </w:tc>
        <w:tc>
          <w:tcPr>
            <w:tcW w:w="1198" w:type="dxa"/>
          </w:tcPr>
          <w:p>
            <w:pPr>
              <w:pStyle w:val="TableParagraph"/>
              <w:spacing w:before="18"/>
              <w:ind w:right="119"/>
              <w:jc w:val="right"/>
              <w:rPr>
                <w:sz w:val="16"/>
              </w:rPr>
            </w:pPr>
            <w:r>
              <w:rPr>
                <w:spacing w:val="-2"/>
                <w:sz w:val="16"/>
              </w:rPr>
              <w:t>199.044.231,58</w:t>
            </w:r>
          </w:p>
        </w:tc>
        <w:tc>
          <w:tcPr>
            <w:tcW w:w="1232" w:type="dxa"/>
          </w:tcPr>
          <w:p>
            <w:pPr>
              <w:pStyle w:val="TableParagraph"/>
              <w:spacing w:before="18"/>
              <w:ind w:right="157"/>
              <w:jc w:val="right"/>
              <w:rPr>
                <w:sz w:val="16"/>
              </w:rPr>
            </w:pPr>
            <w:r>
              <w:rPr>
                <w:spacing w:val="-2"/>
                <w:sz w:val="16"/>
              </w:rPr>
              <w:t>2.381.922,86</w:t>
            </w:r>
          </w:p>
        </w:tc>
        <w:tc>
          <w:tcPr>
            <w:tcW w:w="1166" w:type="dxa"/>
          </w:tcPr>
          <w:p>
            <w:pPr>
              <w:pStyle w:val="TableParagraph"/>
              <w:spacing w:before="18"/>
              <w:ind w:right="68"/>
              <w:jc w:val="right"/>
              <w:rPr>
                <w:sz w:val="16"/>
              </w:rPr>
            </w:pPr>
            <w:r>
              <w:rPr>
                <w:spacing w:val="-2"/>
                <w:sz w:val="16"/>
              </w:rPr>
              <w:t>882.711,02</w:t>
            </w:r>
          </w:p>
        </w:tc>
        <w:tc>
          <w:tcPr>
            <w:tcW w:w="1860" w:type="dxa"/>
          </w:tcPr>
          <w:p>
            <w:pPr>
              <w:pStyle w:val="TableParagraph"/>
              <w:spacing w:before="18"/>
              <w:ind w:right="68"/>
              <w:jc w:val="right"/>
              <w:rPr>
                <w:b/>
                <w:sz w:val="16"/>
              </w:rPr>
            </w:pPr>
            <w:r>
              <w:rPr>
                <w:b/>
                <w:spacing w:val="-2"/>
                <w:sz w:val="16"/>
              </w:rPr>
              <w:t>202.308.865,46</w:t>
            </w:r>
          </w:p>
        </w:tc>
      </w:tr>
      <w:tr>
        <w:trPr>
          <w:trHeight w:val="226" w:hRule="atLeast"/>
        </w:trPr>
        <w:tc>
          <w:tcPr>
            <w:tcW w:w="3044" w:type="dxa"/>
          </w:tcPr>
          <w:p>
            <w:pPr>
              <w:pStyle w:val="TableParagraph"/>
              <w:spacing w:before="18"/>
              <w:ind w:right="290"/>
              <w:jc w:val="right"/>
              <w:rPr>
                <w:sz w:val="16"/>
              </w:rPr>
            </w:pPr>
            <w:r>
              <w:rPr>
                <w:sz w:val="16"/>
              </w:rPr>
              <w:t>Intermodalidad</w:t>
            </w:r>
            <w:r>
              <w:rPr>
                <w:spacing w:val="-5"/>
                <w:sz w:val="16"/>
              </w:rPr>
              <w:t> </w:t>
            </w:r>
            <w:r>
              <w:rPr>
                <w:sz w:val="16"/>
              </w:rPr>
              <w:t>-</w:t>
            </w:r>
            <w:r>
              <w:rPr>
                <w:spacing w:val="-5"/>
                <w:sz w:val="16"/>
              </w:rPr>
              <w:t> </w:t>
            </w:r>
            <w:r>
              <w:rPr>
                <w:sz w:val="16"/>
              </w:rPr>
              <w:t>Estación</w:t>
            </w:r>
            <w:r>
              <w:rPr>
                <w:spacing w:val="-4"/>
                <w:sz w:val="16"/>
              </w:rPr>
              <w:t> </w:t>
            </w:r>
            <w:r>
              <w:rPr>
                <w:sz w:val="16"/>
              </w:rPr>
              <w:t>de</w:t>
            </w:r>
            <w:r>
              <w:rPr>
                <w:spacing w:val="-6"/>
                <w:sz w:val="16"/>
              </w:rPr>
              <w:t> </w:t>
            </w:r>
            <w:r>
              <w:rPr>
                <w:spacing w:val="-2"/>
                <w:sz w:val="16"/>
              </w:rPr>
              <w:t>autobuses</w:t>
            </w:r>
          </w:p>
        </w:tc>
        <w:tc>
          <w:tcPr>
            <w:tcW w:w="1198" w:type="dxa"/>
          </w:tcPr>
          <w:p>
            <w:pPr>
              <w:pStyle w:val="TableParagraph"/>
              <w:spacing w:before="18"/>
              <w:ind w:right="118"/>
              <w:jc w:val="right"/>
              <w:rPr>
                <w:sz w:val="16"/>
              </w:rPr>
            </w:pPr>
            <w:r>
              <w:rPr>
                <w:spacing w:val="-2"/>
                <w:sz w:val="16"/>
              </w:rPr>
              <w:t>3.780,00</w:t>
            </w:r>
          </w:p>
        </w:tc>
        <w:tc>
          <w:tcPr>
            <w:tcW w:w="1232" w:type="dxa"/>
          </w:tcPr>
          <w:p>
            <w:pPr>
              <w:pStyle w:val="TableParagraph"/>
              <w:spacing w:before="18"/>
              <w:ind w:right="157"/>
              <w:jc w:val="right"/>
              <w:rPr>
                <w:sz w:val="16"/>
              </w:rPr>
            </w:pPr>
            <w:r>
              <w:rPr>
                <w:spacing w:val="-2"/>
                <w:sz w:val="16"/>
              </w:rPr>
              <w:t>48,99</w:t>
            </w:r>
          </w:p>
        </w:tc>
        <w:tc>
          <w:tcPr>
            <w:tcW w:w="1166" w:type="dxa"/>
          </w:tcPr>
          <w:p>
            <w:pPr>
              <w:pStyle w:val="TableParagraph"/>
              <w:spacing w:before="18"/>
              <w:ind w:right="68"/>
              <w:jc w:val="right"/>
              <w:rPr>
                <w:sz w:val="16"/>
              </w:rPr>
            </w:pPr>
            <w:r>
              <w:rPr>
                <w:spacing w:val="-2"/>
                <w:sz w:val="16"/>
              </w:rPr>
              <w:t>18,15</w:t>
            </w:r>
          </w:p>
        </w:tc>
        <w:tc>
          <w:tcPr>
            <w:tcW w:w="1860" w:type="dxa"/>
          </w:tcPr>
          <w:p>
            <w:pPr>
              <w:pStyle w:val="TableParagraph"/>
              <w:spacing w:before="18"/>
              <w:ind w:right="68"/>
              <w:jc w:val="right"/>
              <w:rPr>
                <w:b/>
                <w:sz w:val="16"/>
              </w:rPr>
            </w:pPr>
            <w:r>
              <w:rPr>
                <w:b/>
                <w:spacing w:val="-2"/>
                <w:sz w:val="16"/>
              </w:rPr>
              <w:t>3.847,14</w:t>
            </w:r>
          </w:p>
        </w:tc>
      </w:tr>
      <w:tr>
        <w:trPr>
          <w:trHeight w:val="226" w:hRule="atLeast"/>
        </w:trPr>
        <w:tc>
          <w:tcPr>
            <w:tcW w:w="3044" w:type="dxa"/>
          </w:tcPr>
          <w:p>
            <w:pPr>
              <w:pStyle w:val="TableParagraph"/>
              <w:spacing w:before="18"/>
              <w:ind w:left="229"/>
              <w:rPr>
                <w:sz w:val="16"/>
              </w:rPr>
            </w:pPr>
            <w:r>
              <w:rPr>
                <w:sz w:val="16"/>
              </w:rPr>
              <w:t>Aparcamiento</w:t>
            </w:r>
            <w:r>
              <w:rPr>
                <w:spacing w:val="-8"/>
                <w:sz w:val="16"/>
              </w:rPr>
              <w:t> </w:t>
            </w:r>
            <w:r>
              <w:rPr>
                <w:sz w:val="16"/>
              </w:rPr>
              <w:t>estación</w:t>
            </w:r>
            <w:r>
              <w:rPr>
                <w:spacing w:val="-8"/>
                <w:sz w:val="16"/>
              </w:rPr>
              <w:t> </w:t>
            </w:r>
            <w:r>
              <w:rPr>
                <w:spacing w:val="-2"/>
                <w:sz w:val="16"/>
              </w:rPr>
              <w:t>intermodal</w:t>
            </w:r>
          </w:p>
        </w:tc>
        <w:tc>
          <w:tcPr>
            <w:tcW w:w="1198" w:type="dxa"/>
          </w:tcPr>
          <w:p>
            <w:pPr>
              <w:pStyle w:val="TableParagraph"/>
              <w:spacing w:before="18"/>
              <w:ind w:right="118"/>
              <w:jc w:val="right"/>
              <w:rPr>
                <w:sz w:val="16"/>
              </w:rPr>
            </w:pPr>
            <w:r>
              <w:rPr>
                <w:spacing w:val="-2"/>
                <w:sz w:val="16"/>
              </w:rPr>
              <w:t>10.500,00</w:t>
            </w:r>
          </w:p>
        </w:tc>
        <w:tc>
          <w:tcPr>
            <w:tcW w:w="1232" w:type="dxa"/>
          </w:tcPr>
          <w:p>
            <w:pPr>
              <w:pStyle w:val="TableParagraph"/>
              <w:spacing w:before="18"/>
              <w:ind w:right="158"/>
              <w:jc w:val="right"/>
              <w:rPr>
                <w:sz w:val="16"/>
              </w:rPr>
            </w:pPr>
            <w:r>
              <w:rPr>
                <w:spacing w:val="-2"/>
                <w:sz w:val="16"/>
              </w:rPr>
              <w:t>122,46</w:t>
            </w:r>
          </w:p>
        </w:tc>
        <w:tc>
          <w:tcPr>
            <w:tcW w:w="1166" w:type="dxa"/>
          </w:tcPr>
          <w:p>
            <w:pPr>
              <w:pStyle w:val="TableParagraph"/>
              <w:spacing w:before="18"/>
              <w:ind w:right="68"/>
              <w:jc w:val="right"/>
              <w:rPr>
                <w:sz w:val="16"/>
              </w:rPr>
            </w:pPr>
            <w:r>
              <w:rPr>
                <w:spacing w:val="-2"/>
                <w:sz w:val="16"/>
              </w:rPr>
              <w:t>45,38</w:t>
            </w:r>
          </w:p>
        </w:tc>
        <w:tc>
          <w:tcPr>
            <w:tcW w:w="1860" w:type="dxa"/>
          </w:tcPr>
          <w:p>
            <w:pPr>
              <w:pStyle w:val="TableParagraph"/>
              <w:spacing w:before="18"/>
              <w:ind w:right="68"/>
              <w:jc w:val="right"/>
              <w:rPr>
                <w:b/>
                <w:sz w:val="16"/>
              </w:rPr>
            </w:pPr>
            <w:r>
              <w:rPr>
                <w:b/>
                <w:spacing w:val="-2"/>
                <w:sz w:val="16"/>
              </w:rPr>
              <w:t>10.667,84</w:t>
            </w:r>
          </w:p>
        </w:tc>
      </w:tr>
      <w:tr>
        <w:trPr>
          <w:trHeight w:val="223" w:hRule="atLeast"/>
        </w:trPr>
        <w:tc>
          <w:tcPr>
            <w:tcW w:w="3044" w:type="dxa"/>
          </w:tcPr>
          <w:p>
            <w:pPr>
              <w:pStyle w:val="TableParagraph"/>
              <w:spacing w:before="18"/>
              <w:ind w:left="69"/>
              <w:rPr>
                <w:sz w:val="16"/>
              </w:rPr>
            </w:pPr>
            <w:r>
              <w:rPr>
                <w:spacing w:val="-2"/>
                <w:sz w:val="16"/>
              </w:rPr>
              <w:t>Actuaciones</w:t>
            </w:r>
            <w:r>
              <w:rPr>
                <w:spacing w:val="11"/>
                <w:sz w:val="16"/>
              </w:rPr>
              <w:t> </w:t>
            </w:r>
            <w:r>
              <w:rPr>
                <w:spacing w:val="-2"/>
                <w:sz w:val="16"/>
              </w:rPr>
              <w:t>urbanísticas-</w:t>
            </w:r>
            <w:r>
              <w:rPr>
                <w:spacing w:val="12"/>
                <w:sz w:val="16"/>
              </w:rPr>
              <w:t> </w:t>
            </w:r>
            <w:r>
              <w:rPr>
                <w:spacing w:val="-2"/>
                <w:sz w:val="16"/>
              </w:rPr>
              <w:t>Proyectos</w:t>
            </w:r>
          </w:p>
        </w:tc>
        <w:tc>
          <w:tcPr>
            <w:tcW w:w="1198" w:type="dxa"/>
            <w:tcBorders>
              <w:bottom w:val="single" w:sz="8" w:space="0" w:color="000000"/>
            </w:tcBorders>
          </w:tcPr>
          <w:p>
            <w:pPr>
              <w:pStyle w:val="TableParagraph"/>
              <w:spacing w:before="18"/>
              <w:ind w:right="118"/>
              <w:jc w:val="right"/>
              <w:rPr>
                <w:sz w:val="16"/>
              </w:rPr>
            </w:pPr>
            <w:r>
              <w:rPr>
                <w:spacing w:val="-2"/>
                <w:sz w:val="16"/>
              </w:rPr>
              <w:t>654.376,18</w:t>
            </w:r>
          </w:p>
        </w:tc>
        <w:tc>
          <w:tcPr>
            <w:tcW w:w="1232" w:type="dxa"/>
            <w:tcBorders>
              <w:bottom w:val="single" w:sz="8" w:space="0" w:color="000000"/>
            </w:tcBorders>
          </w:tcPr>
          <w:p>
            <w:pPr>
              <w:pStyle w:val="TableParagraph"/>
              <w:spacing w:before="18"/>
              <w:ind w:right="158"/>
              <w:jc w:val="right"/>
              <w:rPr>
                <w:sz w:val="16"/>
              </w:rPr>
            </w:pPr>
            <w:r>
              <w:rPr>
                <w:spacing w:val="-2"/>
                <w:sz w:val="16"/>
              </w:rPr>
              <w:t>7.837,69</w:t>
            </w:r>
          </w:p>
        </w:tc>
        <w:tc>
          <w:tcPr>
            <w:tcW w:w="1166" w:type="dxa"/>
            <w:tcBorders>
              <w:bottom w:val="single" w:sz="8" w:space="0" w:color="000000"/>
            </w:tcBorders>
          </w:tcPr>
          <w:p>
            <w:pPr>
              <w:pStyle w:val="TableParagraph"/>
              <w:spacing w:before="18"/>
              <w:ind w:right="68"/>
              <w:jc w:val="right"/>
              <w:rPr>
                <w:sz w:val="16"/>
              </w:rPr>
            </w:pPr>
            <w:r>
              <w:rPr>
                <w:spacing w:val="-2"/>
                <w:sz w:val="16"/>
              </w:rPr>
              <w:t>2.904,55</w:t>
            </w:r>
          </w:p>
        </w:tc>
        <w:tc>
          <w:tcPr>
            <w:tcW w:w="1860" w:type="dxa"/>
            <w:tcBorders>
              <w:bottom w:val="single" w:sz="8" w:space="0" w:color="000000"/>
            </w:tcBorders>
          </w:tcPr>
          <w:p>
            <w:pPr>
              <w:pStyle w:val="TableParagraph"/>
              <w:spacing w:before="18"/>
              <w:ind w:right="67"/>
              <w:jc w:val="right"/>
              <w:rPr>
                <w:b/>
                <w:sz w:val="16"/>
              </w:rPr>
            </w:pPr>
            <w:r>
              <w:rPr>
                <w:b/>
                <w:spacing w:val="-2"/>
                <w:sz w:val="16"/>
              </w:rPr>
              <w:t>665.118,42</w:t>
            </w:r>
          </w:p>
        </w:tc>
      </w:tr>
      <w:tr>
        <w:trPr>
          <w:trHeight w:val="226" w:hRule="atLeast"/>
        </w:trPr>
        <w:tc>
          <w:tcPr>
            <w:tcW w:w="3044" w:type="dxa"/>
          </w:tcPr>
          <w:p>
            <w:pPr>
              <w:pStyle w:val="TableParagraph"/>
              <w:spacing w:before="22"/>
              <w:ind w:left="6"/>
              <w:jc w:val="center"/>
              <w:rPr>
                <w:b/>
                <w:sz w:val="16"/>
              </w:rPr>
            </w:pPr>
            <w:r>
              <w:rPr>
                <w:b/>
                <w:spacing w:val="-2"/>
                <w:sz w:val="16"/>
              </w:rPr>
              <w:t>Total</w:t>
            </w:r>
          </w:p>
        </w:tc>
        <w:tc>
          <w:tcPr>
            <w:tcW w:w="1198" w:type="dxa"/>
            <w:tcBorders>
              <w:top w:val="single" w:sz="8" w:space="0" w:color="000000"/>
              <w:bottom w:val="double" w:sz="6" w:space="0" w:color="000000"/>
            </w:tcBorders>
          </w:tcPr>
          <w:p>
            <w:pPr>
              <w:pStyle w:val="TableParagraph"/>
              <w:spacing w:before="22"/>
              <w:ind w:right="119"/>
              <w:jc w:val="right"/>
              <w:rPr>
                <w:b/>
                <w:sz w:val="16"/>
              </w:rPr>
            </w:pPr>
            <w:r>
              <w:rPr>
                <w:b/>
                <w:spacing w:val="-2"/>
                <w:sz w:val="16"/>
              </w:rPr>
              <w:t>204.672.437,62</w:t>
            </w:r>
          </w:p>
        </w:tc>
        <w:tc>
          <w:tcPr>
            <w:tcW w:w="1232" w:type="dxa"/>
            <w:tcBorders>
              <w:top w:val="single" w:sz="8" w:space="0" w:color="000000"/>
              <w:bottom w:val="double" w:sz="6" w:space="0" w:color="000000"/>
            </w:tcBorders>
          </w:tcPr>
          <w:p>
            <w:pPr>
              <w:pStyle w:val="TableParagraph"/>
              <w:spacing w:before="22"/>
              <w:ind w:right="157"/>
              <w:jc w:val="right"/>
              <w:rPr>
                <w:b/>
                <w:sz w:val="16"/>
              </w:rPr>
            </w:pPr>
            <w:r>
              <w:rPr>
                <w:b/>
                <w:spacing w:val="-2"/>
                <w:sz w:val="16"/>
              </w:rPr>
              <w:t>2.449.278,01</w:t>
            </w:r>
          </w:p>
        </w:tc>
        <w:tc>
          <w:tcPr>
            <w:tcW w:w="1166" w:type="dxa"/>
            <w:tcBorders>
              <w:top w:val="single" w:sz="8" w:space="0" w:color="000000"/>
              <w:bottom w:val="double" w:sz="6" w:space="0" w:color="000000"/>
            </w:tcBorders>
          </w:tcPr>
          <w:p>
            <w:pPr>
              <w:pStyle w:val="TableParagraph"/>
              <w:spacing w:before="22"/>
              <w:ind w:right="68"/>
              <w:jc w:val="right"/>
              <w:rPr>
                <w:b/>
                <w:sz w:val="16"/>
              </w:rPr>
            </w:pPr>
            <w:r>
              <w:rPr>
                <w:b/>
                <w:spacing w:val="-2"/>
                <w:sz w:val="16"/>
              </w:rPr>
              <w:t>907.672,00</w:t>
            </w:r>
          </w:p>
        </w:tc>
        <w:tc>
          <w:tcPr>
            <w:tcW w:w="1860" w:type="dxa"/>
            <w:tcBorders>
              <w:top w:val="single" w:sz="8" w:space="0" w:color="000000"/>
              <w:bottom w:val="double" w:sz="6" w:space="0" w:color="000000"/>
            </w:tcBorders>
          </w:tcPr>
          <w:p>
            <w:pPr>
              <w:pStyle w:val="TableParagraph"/>
              <w:spacing w:before="22"/>
              <w:ind w:right="68"/>
              <w:jc w:val="right"/>
              <w:rPr>
                <w:b/>
                <w:sz w:val="16"/>
              </w:rPr>
            </w:pPr>
            <w:r>
              <w:rPr>
                <w:b/>
                <w:spacing w:val="-2"/>
                <w:sz w:val="16"/>
              </w:rPr>
              <w:t>208.029.387,63</w:t>
            </w:r>
          </w:p>
        </w:tc>
      </w:tr>
      <w:tr>
        <w:trPr>
          <w:trHeight w:val="681" w:hRule="atLeast"/>
        </w:trPr>
        <w:tc>
          <w:tcPr>
            <w:tcW w:w="8500" w:type="dxa"/>
            <w:gridSpan w:val="5"/>
          </w:tcPr>
          <w:p>
            <w:pPr>
              <w:pStyle w:val="TableParagraph"/>
              <w:rPr>
                <w:sz w:val="16"/>
              </w:rPr>
            </w:pPr>
          </w:p>
          <w:p>
            <w:pPr>
              <w:pStyle w:val="TableParagraph"/>
              <w:spacing w:before="108"/>
              <w:rPr>
                <w:sz w:val="16"/>
              </w:rPr>
            </w:pPr>
          </w:p>
          <w:p>
            <w:pPr>
              <w:pStyle w:val="TableParagraph"/>
              <w:ind w:left="3665"/>
              <w:rPr>
                <w:b/>
                <w:sz w:val="16"/>
              </w:rPr>
            </w:pPr>
            <w:r>
              <w:rPr>
                <w:b/>
                <w:sz w:val="16"/>
              </w:rPr>
              <w:t>Adiciones/</w:t>
            </w:r>
            <w:r>
              <w:rPr>
                <w:b/>
                <w:spacing w:val="-8"/>
                <w:sz w:val="16"/>
              </w:rPr>
              <w:t> </w:t>
            </w:r>
            <w:r>
              <w:rPr>
                <w:b/>
                <w:sz w:val="16"/>
              </w:rPr>
              <w:t>(Salidas)</w:t>
            </w:r>
            <w:r>
              <w:rPr>
                <w:b/>
                <w:spacing w:val="-6"/>
                <w:sz w:val="16"/>
              </w:rPr>
              <w:t> </w:t>
            </w:r>
            <w:r>
              <w:rPr>
                <w:b/>
                <w:sz w:val="16"/>
              </w:rPr>
              <w:t>Ejercicio</w:t>
            </w:r>
            <w:r>
              <w:rPr>
                <w:b/>
                <w:spacing w:val="-8"/>
                <w:sz w:val="16"/>
              </w:rPr>
              <w:t> </w:t>
            </w:r>
            <w:r>
              <w:rPr>
                <w:b/>
                <w:spacing w:val="-4"/>
                <w:sz w:val="16"/>
              </w:rPr>
              <w:t>2024</w:t>
            </w:r>
          </w:p>
        </w:tc>
      </w:tr>
      <w:tr>
        <w:trPr>
          <w:trHeight w:val="368" w:hRule="atLeast"/>
        </w:trPr>
        <w:tc>
          <w:tcPr>
            <w:tcW w:w="3044" w:type="dxa"/>
            <w:tcBorders>
              <w:bottom w:val="single" w:sz="8" w:space="0" w:color="000000"/>
            </w:tcBorders>
          </w:tcPr>
          <w:p>
            <w:pPr>
              <w:pStyle w:val="TableParagraph"/>
              <w:spacing w:before="92"/>
              <w:ind w:left="6" w:right="3"/>
              <w:jc w:val="center"/>
              <w:rPr>
                <w:b/>
                <w:sz w:val="16"/>
              </w:rPr>
            </w:pPr>
            <w:r>
              <w:rPr>
                <w:b/>
                <w:spacing w:val="-2"/>
                <w:sz w:val="16"/>
              </w:rPr>
              <w:t>Concepto</w:t>
            </w:r>
          </w:p>
        </w:tc>
        <w:tc>
          <w:tcPr>
            <w:tcW w:w="1198" w:type="dxa"/>
            <w:tcBorders>
              <w:top w:val="single" w:sz="8" w:space="0" w:color="000000"/>
              <w:bottom w:val="single" w:sz="8" w:space="0" w:color="000000"/>
            </w:tcBorders>
          </w:tcPr>
          <w:p>
            <w:pPr>
              <w:pStyle w:val="TableParagraph"/>
              <w:spacing w:before="92"/>
              <w:ind w:left="164"/>
              <w:rPr>
                <w:b/>
                <w:sz w:val="16"/>
              </w:rPr>
            </w:pPr>
            <w:r>
              <w:rPr>
                <w:b/>
                <w:spacing w:val="-2"/>
                <w:sz w:val="16"/>
              </w:rPr>
              <w:t>Actuaciones</w:t>
            </w:r>
          </w:p>
        </w:tc>
        <w:tc>
          <w:tcPr>
            <w:tcW w:w="1232" w:type="dxa"/>
            <w:tcBorders>
              <w:top w:val="single" w:sz="8" w:space="0" w:color="000000"/>
              <w:bottom w:val="single" w:sz="8" w:space="0" w:color="000000"/>
            </w:tcBorders>
          </w:tcPr>
          <w:p>
            <w:pPr>
              <w:pStyle w:val="TableParagraph"/>
              <w:spacing w:line="184" w:lineRule="exact"/>
              <w:ind w:left="190" w:right="252" w:hanging="69"/>
              <w:rPr>
                <w:b/>
                <w:sz w:val="16"/>
              </w:rPr>
            </w:pPr>
            <w:r>
              <w:rPr>
                <w:b/>
                <w:sz w:val="16"/>
              </w:rPr>
              <w:t>Otros</w:t>
            </w:r>
            <w:r>
              <w:rPr>
                <w:b/>
                <w:spacing w:val="-10"/>
                <w:sz w:val="16"/>
              </w:rPr>
              <w:t> </w:t>
            </w:r>
            <w:r>
              <w:rPr>
                <w:b/>
                <w:sz w:val="16"/>
              </w:rPr>
              <w:t>gastos</w:t>
            </w:r>
            <w:r>
              <w:rPr>
                <w:b/>
                <w:spacing w:val="40"/>
                <w:sz w:val="16"/>
              </w:rPr>
              <w:t> </w:t>
            </w:r>
            <w:r>
              <w:rPr>
                <w:b/>
                <w:spacing w:val="-2"/>
                <w:sz w:val="16"/>
              </w:rPr>
              <w:t>operativos</w:t>
            </w:r>
          </w:p>
        </w:tc>
        <w:tc>
          <w:tcPr>
            <w:tcW w:w="1166" w:type="dxa"/>
            <w:tcBorders>
              <w:top w:val="single" w:sz="8" w:space="0" w:color="000000"/>
              <w:bottom w:val="single" w:sz="8" w:space="0" w:color="000000"/>
            </w:tcBorders>
          </w:tcPr>
          <w:p>
            <w:pPr>
              <w:pStyle w:val="TableParagraph"/>
              <w:spacing w:line="184" w:lineRule="exact"/>
              <w:ind w:left="160" w:firstLine="146"/>
              <w:rPr>
                <w:b/>
                <w:sz w:val="16"/>
              </w:rPr>
            </w:pPr>
            <w:r>
              <w:rPr>
                <w:b/>
                <w:spacing w:val="-2"/>
                <w:sz w:val="16"/>
              </w:rPr>
              <w:t>Gastos</w:t>
            </w:r>
            <w:r>
              <w:rPr>
                <w:b/>
                <w:spacing w:val="40"/>
                <w:sz w:val="16"/>
              </w:rPr>
              <w:t> </w:t>
            </w:r>
            <w:r>
              <w:rPr>
                <w:b/>
                <w:spacing w:val="-2"/>
                <w:sz w:val="16"/>
              </w:rPr>
              <w:t>financieros</w:t>
            </w:r>
          </w:p>
        </w:tc>
        <w:tc>
          <w:tcPr>
            <w:tcW w:w="1860" w:type="dxa"/>
            <w:tcBorders>
              <w:bottom w:val="single" w:sz="8" w:space="0" w:color="000000"/>
            </w:tcBorders>
          </w:tcPr>
          <w:p>
            <w:pPr>
              <w:pStyle w:val="TableParagraph"/>
              <w:spacing w:line="153" w:lineRule="exact"/>
              <w:ind w:left="746"/>
              <w:rPr>
                <w:b/>
                <w:sz w:val="16"/>
              </w:rPr>
            </w:pPr>
            <w:r>
              <w:rPr>
                <w:b/>
                <w:spacing w:val="-2"/>
                <w:sz w:val="16"/>
              </w:rPr>
              <w:t>Total</w:t>
            </w:r>
          </w:p>
        </w:tc>
      </w:tr>
      <w:tr>
        <w:trPr>
          <w:trHeight w:val="229" w:hRule="atLeast"/>
        </w:trPr>
        <w:tc>
          <w:tcPr>
            <w:tcW w:w="3044" w:type="dxa"/>
            <w:tcBorders>
              <w:top w:val="single" w:sz="8" w:space="0" w:color="000000"/>
            </w:tcBorders>
          </w:tcPr>
          <w:p>
            <w:pPr>
              <w:pStyle w:val="TableParagraph"/>
              <w:spacing w:before="20"/>
              <w:ind w:left="69"/>
              <w:rPr>
                <w:sz w:val="16"/>
              </w:rPr>
            </w:pPr>
            <w:r>
              <w:rPr>
                <w:sz w:val="16"/>
              </w:rPr>
              <w:t>Actuaciones</w:t>
            </w:r>
            <w:r>
              <w:rPr>
                <w:spacing w:val="-7"/>
                <w:sz w:val="16"/>
              </w:rPr>
              <w:t> </w:t>
            </w:r>
            <w:r>
              <w:rPr>
                <w:sz w:val="16"/>
              </w:rPr>
              <w:t>de</w:t>
            </w:r>
            <w:r>
              <w:rPr>
                <w:spacing w:val="-6"/>
                <w:sz w:val="16"/>
              </w:rPr>
              <w:t> </w:t>
            </w:r>
            <w:r>
              <w:rPr>
                <w:spacing w:val="-2"/>
                <w:sz w:val="16"/>
              </w:rPr>
              <w:t>integración</w:t>
            </w:r>
          </w:p>
        </w:tc>
        <w:tc>
          <w:tcPr>
            <w:tcW w:w="1198" w:type="dxa"/>
            <w:tcBorders>
              <w:top w:val="single" w:sz="8" w:space="0" w:color="000000"/>
            </w:tcBorders>
          </w:tcPr>
          <w:p>
            <w:pPr>
              <w:pStyle w:val="TableParagraph"/>
              <w:rPr>
                <w:sz w:val="16"/>
              </w:rPr>
            </w:pPr>
          </w:p>
        </w:tc>
        <w:tc>
          <w:tcPr>
            <w:tcW w:w="1232" w:type="dxa"/>
            <w:tcBorders>
              <w:top w:val="single" w:sz="8" w:space="0" w:color="000000"/>
            </w:tcBorders>
          </w:tcPr>
          <w:p>
            <w:pPr>
              <w:pStyle w:val="TableParagraph"/>
              <w:rPr>
                <w:sz w:val="16"/>
              </w:rPr>
            </w:pPr>
          </w:p>
        </w:tc>
        <w:tc>
          <w:tcPr>
            <w:tcW w:w="1166" w:type="dxa"/>
            <w:tcBorders>
              <w:top w:val="single" w:sz="8" w:space="0" w:color="000000"/>
            </w:tcBorders>
          </w:tcPr>
          <w:p>
            <w:pPr>
              <w:pStyle w:val="TableParagraph"/>
              <w:rPr>
                <w:sz w:val="16"/>
              </w:rPr>
            </w:pPr>
          </w:p>
        </w:tc>
        <w:tc>
          <w:tcPr>
            <w:tcW w:w="1860" w:type="dxa"/>
            <w:tcBorders>
              <w:top w:val="single" w:sz="8" w:space="0" w:color="000000"/>
            </w:tcBorders>
          </w:tcPr>
          <w:p>
            <w:pPr>
              <w:pStyle w:val="TableParagraph"/>
              <w:rPr>
                <w:sz w:val="16"/>
              </w:rPr>
            </w:pPr>
          </w:p>
        </w:tc>
      </w:tr>
      <w:tr>
        <w:trPr>
          <w:trHeight w:val="226" w:hRule="atLeast"/>
        </w:trPr>
        <w:tc>
          <w:tcPr>
            <w:tcW w:w="3044" w:type="dxa"/>
          </w:tcPr>
          <w:p>
            <w:pPr>
              <w:pStyle w:val="TableParagraph"/>
              <w:spacing w:before="18"/>
              <w:ind w:left="229"/>
              <w:rPr>
                <w:sz w:val="16"/>
              </w:rPr>
            </w:pPr>
            <w:r>
              <w:rPr>
                <w:sz w:val="16"/>
              </w:rPr>
              <w:t>Proyectos</w:t>
            </w:r>
            <w:r>
              <w:rPr>
                <w:spacing w:val="-8"/>
                <w:sz w:val="16"/>
              </w:rPr>
              <w:t> </w:t>
            </w:r>
            <w:r>
              <w:rPr>
                <w:spacing w:val="-2"/>
                <w:sz w:val="16"/>
              </w:rPr>
              <w:t>ferroviarios</w:t>
            </w:r>
          </w:p>
        </w:tc>
        <w:tc>
          <w:tcPr>
            <w:tcW w:w="1198" w:type="dxa"/>
          </w:tcPr>
          <w:p>
            <w:pPr>
              <w:pStyle w:val="TableParagraph"/>
              <w:rPr>
                <w:sz w:val="16"/>
              </w:rPr>
            </w:pPr>
          </w:p>
        </w:tc>
        <w:tc>
          <w:tcPr>
            <w:tcW w:w="1232" w:type="dxa"/>
          </w:tcPr>
          <w:p>
            <w:pPr>
              <w:pStyle w:val="TableParagraph"/>
              <w:rPr>
                <w:sz w:val="16"/>
              </w:rPr>
            </w:pPr>
          </w:p>
        </w:tc>
        <w:tc>
          <w:tcPr>
            <w:tcW w:w="1166" w:type="dxa"/>
          </w:tcPr>
          <w:p>
            <w:pPr>
              <w:pStyle w:val="TableParagraph"/>
              <w:rPr>
                <w:sz w:val="16"/>
              </w:rPr>
            </w:pPr>
          </w:p>
        </w:tc>
        <w:tc>
          <w:tcPr>
            <w:tcW w:w="1860" w:type="dxa"/>
          </w:tcPr>
          <w:p>
            <w:pPr>
              <w:pStyle w:val="TableParagraph"/>
              <w:spacing w:before="18"/>
              <w:ind w:right="68"/>
              <w:jc w:val="right"/>
              <w:rPr>
                <w:b/>
                <w:sz w:val="16"/>
              </w:rPr>
            </w:pPr>
            <w:r>
              <w:rPr>
                <w:b/>
                <w:spacing w:val="-4"/>
                <w:sz w:val="16"/>
              </w:rPr>
              <w:t>0,00</w:t>
            </w:r>
          </w:p>
        </w:tc>
      </w:tr>
      <w:tr>
        <w:trPr>
          <w:trHeight w:val="227" w:hRule="atLeast"/>
        </w:trPr>
        <w:tc>
          <w:tcPr>
            <w:tcW w:w="3044" w:type="dxa"/>
          </w:tcPr>
          <w:p>
            <w:pPr>
              <w:pStyle w:val="TableParagraph"/>
              <w:spacing w:before="18"/>
              <w:ind w:left="229"/>
              <w:rPr>
                <w:sz w:val="16"/>
              </w:rPr>
            </w:pPr>
            <w:r>
              <w:rPr>
                <w:sz w:val="16"/>
              </w:rPr>
              <w:t>Obra</w:t>
            </w:r>
            <w:r>
              <w:rPr>
                <w:spacing w:val="-5"/>
                <w:sz w:val="16"/>
              </w:rPr>
              <w:t> </w:t>
            </w:r>
            <w:r>
              <w:rPr>
                <w:sz w:val="16"/>
              </w:rPr>
              <w:t>Fases</w:t>
            </w:r>
            <w:r>
              <w:rPr>
                <w:spacing w:val="-3"/>
                <w:sz w:val="16"/>
              </w:rPr>
              <w:t> </w:t>
            </w:r>
            <w:r>
              <w:rPr>
                <w:sz w:val="16"/>
              </w:rPr>
              <w:t>1</w:t>
            </w:r>
            <w:r>
              <w:rPr>
                <w:spacing w:val="-4"/>
                <w:sz w:val="16"/>
              </w:rPr>
              <w:t> </w:t>
            </w:r>
            <w:r>
              <w:rPr>
                <w:sz w:val="16"/>
              </w:rPr>
              <w:t>y</w:t>
            </w:r>
            <w:r>
              <w:rPr>
                <w:spacing w:val="-3"/>
                <w:sz w:val="16"/>
              </w:rPr>
              <w:t> </w:t>
            </w:r>
            <w:r>
              <w:rPr>
                <w:spacing w:val="-10"/>
                <w:sz w:val="16"/>
              </w:rPr>
              <w:t>2</w:t>
            </w:r>
          </w:p>
        </w:tc>
        <w:tc>
          <w:tcPr>
            <w:tcW w:w="1198" w:type="dxa"/>
          </w:tcPr>
          <w:p>
            <w:pPr>
              <w:pStyle w:val="TableParagraph"/>
              <w:spacing w:before="18"/>
              <w:ind w:right="119"/>
              <w:jc w:val="right"/>
              <w:rPr>
                <w:sz w:val="16"/>
              </w:rPr>
            </w:pPr>
            <w:r>
              <w:rPr>
                <w:spacing w:val="-2"/>
                <w:sz w:val="16"/>
              </w:rPr>
              <w:t>37.085.028,00</w:t>
            </w:r>
          </w:p>
        </w:tc>
        <w:tc>
          <w:tcPr>
            <w:tcW w:w="1232" w:type="dxa"/>
          </w:tcPr>
          <w:p>
            <w:pPr>
              <w:pStyle w:val="TableParagraph"/>
              <w:spacing w:before="18"/>
              <w:ind w:right="157"/>
              <w:jc w:val="right"/>
              <w:rPr>
                <w:sz w:val="16"/>
              </w:rPr>
            </w:pPr>
            <w:r>
              <w:rPr>
                <w:spacing w:val="-2"/>
                <w:sz w:val="16"/>
              </w:rPr>
              <w:t>171.058,09</w:t>
            </w:r>
          </w:p>
        </w:tc>
        <w:tc>
          <w:tcPr>
            <w:tcW w:w="1166" w:type="dxa"/>
          </w:tcPr>
          <w:p>
            <w:pPr>
              <w:pStyle w:val="TableParagraph"/>
              <w:rPr>
                <w:sz w:val="16"/>
              </w:rPr>
            </w:pPr>
          </w:p>
        </w:tc>
        <w:tc>
          <w:tcPr>
            <w:tcW w:w="1860" w:type="dxa"/>
          </w:tcPr>
          <w:p>
            <w:pPr>
              <w:pStyle w:val="TableParagraph"/>
              <w:spacing w:before="18"/>
              <w:ind w:right="68"/>
              <w:jc w:val="right"/>
              <w:rPr>
                <w:b/>
                <w:sz w:val="16"/>
              </w:rPr>
            </w:pPr>
            <w:r>
              <w:rPr>
                <w:b/>
                <w:spacing w:val="-2"/>
                <w:sz w:val="16"/>
              </w:rPr>
              <w:t>37.256.086,09</w:t>
            </w:r>
          </w:p>
        </w:tc>
      </w:tr>
      <w:tr>
        <w:trPr>
          <w:trHeight w:val="227" w:hRule="atLeast"/>
        </w:trPr>
        <w:tc>
          <w:tcPr>
            <w:tcW w:w="3044" w:type="dxa"/>
          </w:tcPr>
          <w:p>
            <w:pPr>
              <w:pStyle w:val="TableParagraph"/>
              <w:spacing w:before="18"/>
              <w:ind w:right="290"/>
              <w:jc w:val="right"/>
              <w:rPr>
                <w:sz w:val="16"/>
              </w:rPr>
            </w:pPr>
            <w:r>
              <w:rPr>
                <w:sz w:val="16"/>
              </w:rPr>
              <w:t>Intermodalidad</w:t>
            </w:r>
            <w:r>
              <w:rPr>
                <w:spacing w:val="-5"/>
                <w:sz w:val="16"/>
              </w:rPr>
              <w:t> </w:t>
            </w:r>
            <w:r>
              <w:rPr>
                <w:sz w:val="16"/>
              </w:rPr>
              <w:t>-</w:t>
            </w:r>
            <w:r>
              <w:rPr>
                <w:spacing w:val="-5"/>
                <w:sz w:val="16"/>
              </w:rPr>
              <w:t> </w:t>
            </w:r>
            <w:r>
              <w:rPr>
                <w:sz w:val="16"/>
              </w:rPr>
              <w:t>Estación</w:t>
            </w:r>
            <w:r>
              <w:rPr>
                <w:spacing w:val="-4"/>
                <w:sz w:val="16"/>
              </w:rPr>
              <w:t> </w:t>
            </w:r>
            <w:r>
              <w:rPr>
                <w:sz w:val="16"/>
              </w:rPr>
              <w:t>de</w:t>
            </w:r>
            <w:r>
              <w:rPr>
                <w:spacing w:val="-6"/>
                <w:sz w:val="16"/>
              </w:rPr>
              <w:t> </w:t>
            </w:r>
            <w:r>
              <w:rPr>
                <w:spacing w:val="-2"/>
                <w:sz w:val="16"/>
              </w:rPr>
              <w:t>autobuses</w:t>
            </w:r>
          </w:p>
        </w:tc>
        <w:tc>
          <w:tcPr>
            <w:tcW w:w="1198" w:type="dxa"/>
          </w:tcPr>
          <w:p>
            <w:pPr>
              <w:pStyle w:val="TableParagraph"/>
              <w:spacing w:before="18"/>
              <w:ind w:right="118"/>
              <w:jc w:val="right"/>
              <w:rPr>
                <w:sz w:val="16"/>
              </w:rPr>
            </w:pPr>
            <w:r>
              <w:rPr>
                <w:spacing w:val="-2"/>
                <w:sz w:val="16"/>
              </w:rPr>
              <w:t>82.130,00</w:t>
            </w:r>
          </w:p>
        </w:tc>
        <w:tc>
          <w:tcPr>
            <w:tcW w:w="1232" w:type="dxa"/>
          </w:tcPr>
          <w:p>
            <w:pPr>
              <w:pStyle w:val="TableParagraph"/>
              <w:spacing w:before="18"/>
              <w:ind w:right="158"/>
              <w:jc w:val="right"/>
              <w:rPr>
                <w:sz w:val="16"/>
              </w:rPr>
            </w:pPr>
            <w:r>
              <w:rPr>
                <w:spacing w:val="-2"/>
                <w:sz w:val="16"/>
              </w:rPr>
              <w:t>378,83</w:t>
            </w:r>
          </w:p>
        </w:tc>
        <w:tc>
          <w:tcPr>
            <w:tcW w:w="1166" w:type="dxa"/>
          </w:tcPr>
          <w:p>
            <w:pPr>
              <w:pStyle w:val="TableParagraph"/>
              <w:rPr>
                <w:sz w:val="16"/>
              </w:rPr>
            </w:pPr>
          </w:p>
        </w:tc>
        <w:tc>
          <w:tcPr>
            <w:tcW w:w="1860" w:type="dxa"/>
          </w:tcPr>
          <w:p>
            <w:pPr>
              <w:pStyle w:val="TableParagraph"/>
              <w:spacing w:before="18"/>
              <w:ind w:right="68"/>
              <w:jc w:val="right"/>
              <w:rPr>
                <w:b/>
                <w:sz w:val="16"/>
              </w:rPr>
            </w:pPr>
            <w:r>
              <w:rPr>
                <w:b/>
                <w:spacing w:val="-2"/>
                <w:sz w:val="16"/>
              </w:rPr>
              <w:t>82.508,83</w:t>
            </w:r>
          </w:p>
        </w:tc>
      </w:tr>
      <w:tr>
        <w:trPr>
          <w:trHeight w:val="226" w:hRule="atLeast"/>
        </w:trPr>
        <w:tc>
          <w:tcPr>
            <w:tcW w:w="3044" w:type="dxa"/>
          </w:tcPr>
          <w:p>
            <w:pPr>
              <w:pStyle w:val="TableParagraph"/>
              <w:spacing w:before="18"/>
              <w:ind w:left="229"/>
              <w:rPr>
                <w:sz w:val="16"/>
              </w:rPr>
            </w:pPr>
            <w:r>
              <w:rPr>
                <w:sz w:val="16"/>
              </w:rPr>
              <w:t>Aparcamiento</w:t>
            </w:r>
            <w:r>
              <w:rPr>
                <w:spacing w:val="-8"/>
                <w:sz w:val="16"/>
              </w:rPr>
              <w:t> </w:t>
            </w:r>
            <w:r>
              <w:rPr>
                <w:sz w:val="16"/>
              </w:rPr>
              <w:t>estación</w:t>
            </w:r>
            <w:r>
              <w:rPr>
                <w:spacing w:val="-8"/>
                <w:sz w:val="16"/>
              </w:rPr>
              <w:t> </w:t>
            </w:r>
            <w:r>
              <w:rPr>
                <w:spacing w:val="-2"/>
                <w:sz w:val="16"/>
              </w:rPr>
              <w:t>intermodal</w:t>
            </w:r>
          </w:p>
        </w:tc>
        <w:tc>
          <w:tcPr>
            <w:tcW w:w="1198" w:type="dxa"/>
          </w:tcPr>
          <w:p>
            <w:pPr>
              <w:pStyle w:val="TableParagraph"/>
              <w:spacing w:before="18"/>
              <w:ind w:right="118"/>
              <w:jc w:val="right"/>
              <w:rPr>
                <w:sz w:val="16"/>
              </w:rPr>
            </w:pPr>
            <w:r>
              <w:rPr>
                <w:spacing w:val="-4"/>
                <w:sz w:val="16"/>
              </w:rPr>
              <w:t>0,00</w:t>
            </w:r>
          </w:p>
        </w:tc>
        <w:tc>
          <w:tcPr>
            <w:tcW w:w="1232" w:type="dxa"/>
          </w:tcPr>
          <w:p>
            <w:pPr>
              <w:pStyle w:val="TableParagraph"/>
              <w:rPr>
                <w:sz w:val="16"/>
              </w:rPr>
            </w:pPr>
          </w:p>
        </w:tc>
        <w:tc>
          <w:tcPr>
            <w:tcW w:w="1166" w:type="dxa"/>
          </w:tcPr>
          <w:p>
            <w:pPr>
              <w:pStyle w:val="TableParagraph"/>
              <w:rPr>
                <w:sz w:val="16"/>
              </w:rPr>
            </w:pPr>
          </w:p>
        </w:tc>
        <w:tc>
          <w:tcPr>
            <w:tcW w:w="1860" w:type="dxa"/>
          </w:tcPr>
          <w:p>
            <w:pPr>
              <w:pStyle w:val="TableParagraph"/>
              <w:spacing w:before="18"/>
              <w:ind w:right="68"/>
              <w:jc w:val="right"/>
              <w:rPr>
                <w:b/>
                <w:sz w:val="16"/>
              </w:rPr>
            </w:pPr>
            <w:r>
              <w:rPr>
                <w:b/>
                <w:spacing w:val="-4"/>
                <w:sz w:val="16"/>
              </w:rPr>
              <w:t>0,00</w:t>
            </w:r>
          </w:p>
        </w:tc>
      </w:tr>
      <w:tr>
        <w:trPr>
          <w:trHeight w:val="223" w:hRule="atLeast"/>
        </w:trPr>
        <w:tc>
          <w:tcPr>
            <w:tcW w:w="3044" w:type="dxa"/>
          </w:tcPr>
          <w:p>
            <w:pPr>
              <w:pStyle w:val="TableParagraph"/>
              <w:spacing w:before="18"/>
              <w:ind w:left="69"/>
              <w:rPr>
                <w:sz w:val="16"/>
              </w:rPr>
            </w:pPr>
            <w:r>
              <w:rPr>
                <w:spacing w:val="-2"/>
                <w:sz w:val="16"/>
              </w:rPr>
              <w:t>Actuaciones</w:t>
            </w:r>
            <w:r>
              <w:rPr>
                <w:spacing w:val="11"/>
                <w:sz w:val="16"/>
              </w:rPr>
              <w:t> </w:t>
            </w:r>
            <w:r>
              <w:rPr>
                <w:spacing w:val="-2"/>
                <w:sz w:val="16"/>
              </w:rPr>
              <w:t>urbanísticas-</w:t>
            </w:r>
            <w:r>
              <w:rPr>
                <w:spacing w:val="12"/>
                <w:sz w:val="16"/>
              </w:rPr>
              <w:t> </w:t>
            </w:r>
            <w:r>
              <w:rPr>
                <w:spacing w:val="-2"/>
                <w:sz w:val="16"/>
              </w:rPr>
              <w:t>Proyectos</w:t>
            </w:r>
          </w:p>
        </w:tc>
        <w:tc>
          <w:tcPr>
            <w:tcW w:w="1198" w:type="dxa"/>
            <w:tcBorders>
              <w:bottom w:val="single" w:sz="8" w:space="0" w:color="000000"/>
            </w:tcBorders>
          </w:tcPr>
          <w:p>
            <w:pPr>
              <w:pStyle w:val="TableParagraph"/>
              <w:spacing w:before="18"/>
              <w:ind w:right="118"/>
              <w:jc w:val="right"/>
              <w:rPr>
                <w:sz w:val="16"/>
              </w:rPr>
            </w:pPr>
            <w:r>
              <w:rPr>
                <w:spacing w:val="-2"/>
                <w:sz w:val="16"/>
              </w:rPr>
              <w:t>72.983,00</w:t>
            </w:r>
          </w:p>
        </w:tc>
        <w:tc>
          <w:tcPr>
            <w:tcW w:w="1232" w:type="dxa"/>
            <w:tcBorders>
              <w:bottom w:val="single" w:sz="8" w:space="0" w:color="000000"/>
            </w:tcBorders>
          </w:tcPr>
          <w:p>
            <w:pPr>
              <w:pStyle w:val="TableParagraph"/>
              <w:spacing w:before="18"/>
              <w:ind w:right="158"/>
              <w:jc w:val="right"/>
              <w:rPr>
                <w:sz w:val="16"/>
              </w:rPr>
            </w:pPr>
            <w:r>
              <w:rPr>
                <w:spacing w:val="-2"/>
                <w:sz w:val="16"/>
              </w:rPr>
              <w:t>336,64</w:t>
            </w:r>
          </w:p>
        </w:tc>
        <w:tc>
          <w:tcPr>
            <w:tcW w:w="1166" w:type="dxa"/>
            <w:tcBorders>
              <w:bottom w:val="single" w:sz="8" w:space="0" w:color="000000"/>
            </w:tcBorders>
          </w:tcPr>
          <w:p>
            <w:pPr>
              <w:pStyle w:val="TableParagraph"/>
              <w:rPr>
                <w:sz w:val="14"/>
              </w:rPr>
            </w:pPr>
          </w:p>
        </w:tc>
        <w:tc>
          <w:tcPr>
            <w:tcW w:w="1860" w:type="dxa"/>
            <w:tcBorders>
              <w:bottom w:val="single" w:sz="8" w:space="0" w:color="000000"/>
            </w:tcBorders>
          </w:tcPr>
          <w:p>
            <w:pPr>
              <w:pStyle w:val="TableParagraph"/>
              <w:spacing w:before="18"/>
              <w:ind w:right="68"/>
              <w:jc w:val="right"/>
              <w:rPr>
                <w:b/>
                <w:sz w:val="16"/>
              </w:rPr>
            </w:pPr>
            <w:r>
              <w:rPr>
                <w:b/>
                <w:spacing w:val="-2"/>
                <w:sz w:val="16"/>
              </w:rPr>
              <w:t>73.319,64</w:t>
            </w:r>
          </w:p>
        </w:tc>
      </w:tr>
      <w:tr>
        <w:trPr>
          <w:trHeight w:val="226" w:hRule="atLeast"/>
        </w:trPr>
        <w:tc>
          <w:tcPr>
            <w:tcW w:w="3044" w:type="dxa"/>
          </w:tcPr>
          <w:p>
            <w:pPr>
              <w:pStyle w:val="TableParagraph"/>
              <w:spacing w:before="22"/>
              <w:ind w:left="6"/>
              <w:jc w:val="center"/>
              <w:rPr>
                <w:b/>
                <w:sz w:val="16"/>
              </w:rPr>
            </w:pPr>
            <w:r>
              <w:rPr>
                <w:b/>
                <w:spacing w:val="-2"/>
                <w:sz w:val="16"/>
              </w:rPr>
              <w:t>Total</w:t>
            </w:r>
          </w:p>
        </w:tc>
        <w:tc>
          <w:tcPr>
            <w:tcW w:w="1198" w:type="dxa"/>
            <w:tcBorders>
              <w:top w:val="single" w:sz="8" w:space="0" w:color="000000"/>
              <w:bottom w:val="double" w:sz="6" w:space="0" w:color="000000"/>
            </w:tcBorders>
          </w:tcPr>
          <w:p>
            <w:pPr>
              <w:pStyle w:val="TableParagraph"/>
              <w:spacing w:before="22"/>
              <w:ind w:right="119"/>
              <w:jc w:val="right"/>
              <w:rPr>
                <w:b/>
                <w:sz w:val="16"/>
              </w:rPr>
            </w:pPr>
            <w:r>
              <w:rPr>
                <w:b/>
                <w:spacing w:val="-2"/>
                <w:sz w:val="16"/>
              </w:rPr>
              <w:t>37.240.141,00</w:t>
            </w:r>
          </w:p>
        </w:tc>
        <w:tc>
          <w:tcPr>
            <w:tcW w:w="1232" w:type="dxa"/>
            <w:tcBorders>
              <w:top w:val="single" w:sz="8" w:space="0" w:color="000000"/>
              <w:bottom w:val="double" w:sz="6" w:space="0" w:color="000000"/>
            </w:tcBorders>
          </w:tcPr>
          <w:p>
            <w:pPr>
              <w:pStyle w:val="TableParagraph"/>
              <w:spacing w:before="22"/>
              <w:ind w:right="157"/>
              <w:jc w:val="right"/>
              <w:rPr>
                <w:b/>
                <w:sz w:val="16"/>
              </w:rPr>
            </w:pPr>
            <w:r>
              <w:rPr>
                <w:b/>
                <w:spacing w:val="-2"/>
                <w:sz w:val="16"/>
              </w:rPr>
              <w:t>171.773,56</w:t>
            </w:r>
          </w:p>
        </w:tc>
        <w:tc>
          <w:tcPr>
            <w:tcW w:w="1166" w:type="dxa"/>
            <w:tcBorders>
              <w:top w:val="single" w:sz="8" w:space="0" w:color="000000"/>
              <w:bottom w:val="double" w:sz="6" w:space="0" w:color="000000"/>
            </w:tcBorders>
          </w:tcPr>
          <w:p>
            <w:pPr>
              <w:pStyle w:val="TableParagraph"/>
              <w:spacing w:before="22"/>
              <w:ind w:right="68"/>
              <w:jc w:val="right"/>
              <w:rPr>
                <w:b/>
                <w:sz w:val="16"/>
              </w:rPr>
            </w:pPr>
            <w:r>
              <w:rPr>
                <w:b/>
                <w:spacing w:val="-4"/>
                <w:sz w:val="16"/>
              </w:rPr>
              <w:t>0,00</w:t>
            </w:r>
          </w:p>
        </w:tc>
        <w:tc>
          <w:tcPr>
            <w:tcW w:w="1860" w:type="dxa"/>
            <w:tcBorders>
              <w:top w:val="single" w:sz="8" w:space="0" w:color="000000"/>
              <w:bottom w:val="double" w:sz="6" w:space="0" w:color="000000"/>
            </w:tcBorders>
          </w:tcPr>
          <w:p>
            <w:pPr>
              <w:pStyle w:val="TableParagraph"/>
              <w:spacing w:before="22"/>
              <w:ind w:right="68"/>
              <w:jc w:val="right"/>
              <w:rPr>
                <w:b/>
                <w:sz w:val="16"/>
              </w:rPr>
            </w:pPr>
            <w:r>
              <w:rPr>
                <w:b/>
                <w:spacing w:val="-2"/>
                <w:sz w:val="16"/>
              </w:rPr>
              <w:t>37.411.914,56</w:t>
            </w:r>
          </w:p>
        </w:tc>
      </w:tr>
      <w:tr>
        <w:trPr>
          <w:trHeight w:val="454" w:hRule="atLeast"/>
        </w:trPr>
        <w:tc>
          <w:tcPr>
            <w:tcW w:w="8500" w:type="dxa"/>
            <w:gridSpan w:val="5"/>
          </w:tcPr>
          <w:p>
            <w:pPr>
              <w:pStyle w:val="TableParagraph"/>
              <w:spacing w:before="65"/>
              <w:rPr>
                <w:sz w:val="16"/>
              </w:rPr>
            </w:pPr>
          </w:p>
          <w:p>
            <w:pPr>
              <w:pStyle w:val="TableParagraph"/>
              <w:ind w:left="3660"/>
              <w:rPr>
                <w:b/>
                <w:sz w:val="16"/>
              </w:rPr>
            </w:pPr>
            <w:r>
              <w:rPr>
                <w:b/>
                <w:sz w:val="16"/>
              </w:rPr>
              <w:t>Importes</w:t>
            </w:r>
            <w:r>
              <w:rPr>
                <w:b/>
                <w:spacing w:val="-7"/>
                <w:sz w:val="16"/>
              </w:rPr>
              <w:t> </w:t>
            </w:r>
            <w:r>
              <w:rPr>
                <w:b/>
                <w:sz w:val="16"/>
              </w:rPr>
              <w:t>acumulados</w:t>
            </w:r>
            <w:r>
              <w:rPr>
                <w:b/>
                <w:spacing w:val="-7"/>
                <w:sz w:val="16"/>
              </w:rPr>
              <w:t> </w:t>
            </w:r>
            <w:r>
              <w:rPr>
                <w:b/>
                <w:sz w:val="16"/>
              </w:rPr>
              <w:t>a</w:t>
            </w:r>
            <w:r>
              <w:rPr>
                <w:b/>
                <w:spacing w:val="-6"/>
                <w:sz w:val="16"/>
              </w:rPr>
              <w:t> </w:t>
            </w:r>
            <w:r>
              <w:rPr>
                <w:b/>
                <w:spacing w:val="-2"/>
                <w:sz w:val="16"/>
              </w:rPr>
              <w:t>31/12/2024</w:t>
            </w:r>
          </w:p>
        </w:tc>
      </w:tr>
      <w:tr>
        <w:trPr>
          <w:trHeight w:val="367" w:hRule="atLeast"/>
        </w:trPr>
        <w:tc>
          <w:tcPr>
            <w:tcW w:w="3044" w:type="dxa"/>
            <w:tcBorders>
              <w:bottom w:val="single" w:sz="8" w:space="0" w:color="000000"/>
            </w:tcBorders>
          </w:tcPr>
          <w:p>
            <w:pPr>
              <w:pStyle w:val="TableParagraph"/>
              <w:spacing w:before="91"/>
              <w:ind w:left="6" w:right="3"/>
              <w:jc w:val="center"/>
              <w:rPr>
                <w:b/>
                <w:sz w:val="16"/>
              </w:rPr>
            </w:pPr>
            <w:r>
              <w:rPr>
                <w:b/>
                <w:spacing w:val="-2"/>
                <w:sz w:val="16"/>
              </w:rPr>
              <w:t>Concepto</w:t>
            </w:r>
          </w:p>
        </w:tc>
        <w:tc>
          <w:tcPr>
            <w:tcW w:w="1198" w:type="dxa"/>
            <w:tcBorders>
              <w:top w:val="single" w:sz="8" w:space="0" w:color="000000"/>
              <w:bottom w:val="single" w:sz="8" w:space="0" w:color="000000"/>
            </w:tcBorders>
          </w:tcPr>
          <w:p>
            <w:pPr>
              <w:pStyle w:val="TableParagraph"/>
              <w:spacing w:before="91"/>
              <w:ind w:left="164"/>
              <w:rPr>
                <w:b/>
                <w:sz w:val="16"/>
              </w:rPr>
            </w:pPr>
            <w:r>
              <w:rPr>
                <w:b/>
                <w:spacing w:val="-2"/>
                <w:sz w:val="16"/>
              </w:rPr>
              <w:t>Actuaciones</w:t>
            </w:r>
          </w:p>
        </w:tc>
        <w:tc>
          <w:tcPr>
            <w:tcW w:w="1232" w:type="dxa"/>
            <w:tcBorders>
              <w:top w:val="single" w:sz="8" w:space="0" w:color="000000"/>
              <w:bottom w:val="single" w:sz="8" w:space="0" w:color="000000"/>
            </w:tcBorders>
          </w:tcPr>
          <w:p>
            <w:pPr>
              <w:pStyle w:val="TableParagraph"/>
              <w:spacing w:line="184" w:lineRule="exact"/>
              <w:ind w:left="190" w:right="252" w:hanging="69"/>
              <w:rPr>
                <w:b/>
                <w:sz w:val="16"/>
              </w:rPr>
            </w:pPr>
            <w:r>
              <w:rPr>
                <w:b/>
                <w:sz w:val="16"/>
              </w:rPr>
              <w:t>Otros</w:t>
            </w:r>
            <w:r>
              <w:rPr>
                <w:b/>
                <w:spacing w:val="-10"/>
                <w:sz w:val="16"/>
              </w:rPr>
              <w:t> </w:t>
            </w:r>
            <w:r>
              <w:rPr>
                <w:b/>
                <w:sz w:val="16"/>
              </w:rPr>
              <w:t>gastos</w:t>
            </w:r>
            <w:r>
              <w:rPr>
                <w:b/>
                <w:spacing w:val="40"/>
                <w:sz w:val="16"/>
              </w:rPr>
              <w:t> </w:t>
            </w:r>
            <w:r>
              <w:rPr>
                <w:b/>
                <w:spacing w:val="-2"/>
                <w:sz w:val="16"/>
              </w:rPr>
              <w:t>operativos</w:t>
            </w:r>
          </w:p>
        </w:tc>
        <w:tc>
          <w:tcPr>
            <w:tcW w:w="1166" w:type="dxa"/>
            <w:tcBorders>
              <w:top w:val="single" w:sz="8" w:space="0" w:color="000000"/>
              <w:bottom w:val="single" w:sz="8" w:space="0" w:color="000000"/>
            </w:tcBorders>
          </w:tcPr>
          <w:p>
            <w:pPr>
              <w:pStyle w:val="TableParagraph"/>
              <w:spacing w:line="184" w:lineRule="exact"/>
              <w:ind w:left="160" w:firstLine="146"/>
              <w:rPr>
                <w:b/>
                <w:sz w:val="16"/>
              </w:rPr>
            </w:pPr>
            <w:r>
              <w:rPr>
                <w:b/>
                <w:spacing w:val="-2"/>
                <w:sz w:val="16"/>
              </w:rPr>
              <w:t>Gastos</w:t>
            </w:r>
            <w:r>
              <w:rPr>
                <w:b/>
                <w:spacing w:val="40"/>
                <w:sz w:val="16"/>
              </w:rPr>
              <w:t> </w:t>
            </w:r>
            <w:r>
              <w:rPr>
                <w:b/>
                <w:spacing w:val="-2"/>
                <w:sz w:val="16"/>
              </w:rPr>
              <w:t>financieros</w:t>
            </w:r>
          </w:p>
        </w:tc>
        <w:tc>
          <w:tcPr>
            <w:tcW w:w="1860" w:type="dxa"/>
            <w:tcBorders>
              <w:bottom w:val="single" w:sz="8" w:space="0" w:color="000000"/>
            </w:tcBorders>
          </w:tcPr>
          <w:p>
            <w:pPr>
              <w:pStyle w:val="TableParagraph"/>
              <w:spacing w:line="152" w:lineRule="exact"/>
              <w:ind w:left="746"/>
              <w:rPr>
                <w:b/>
                <w:sz w:val="16"/>
              </w:rPr>
            </w:pPr>
            <w:r>
              <w:rPr>
                <w:b/>
                <w:spacing w:val="-2"/>
                <w:sz w:val="16"/>
              </w:rPr>
              <w:t>Total</w:t>
            </w:r>
          </w:p>
        </w:tc>
      </w:tr>
      <w:tr>
        <w:trPr>
          <w:trHeight w:val="230" w:hRule="atLeast"/>
        </w:trPr>
        <w:tc>
          <w:tcPr>
            <w:tcW w:w="3044" w:type="dxa"/>
            <w:tcBorders>
              <w:top w:val="single" w:sz="8" w:space="0" w:color="000000"/>
            </w:tcBorders>
          </w:tcPr>
          <w:p>
            <w:pPr>
              <w:pStyle w:val="TableParagraph"/>
              <w:spacing w:before="21"/>
              <w:ind w:left="69"/>
              <w:rPr>
                <w:sz w:val="16"/>
              </w:rPr>
            </w:pPr>
            <w:r>
              <w:rPr>
                <w:sz w:val="16"/>
              </w:rPr>
              <w:t>Actuaciones</w:t>
            </w:r>
            <w:r>
              <w:rPr>
                <w:spacing w:val="-7"/>
                <w:sz w:val="16"/>
              </w:rPr>
              <w:t> </w:t>
            </w:r>
            <w:r>
              <w:rPr>
                <w:sz w:val="16"/>
              </w:rPr>
              <w:t>de</w:t>
            </w:r>
            <w:r>
              <w:rPr>
                <w:spacing w:val="-6"/>
                <w:sz w:val="16"/>
              </w:rPr>
              <w:t> </w:t>
            </w:r>
            <w:r>
              <w:rPr>
                <w:spacing w:val="-2"/>
                <w:sz w:val="16"/>
              </w:rPr>
              <w:t>integración</w:t>
            </w:r>
          </w:p>
        </w:tc>
        <w:tc>
          <w:tcPr>
            <w:tcW w:w="1198" w:type="dxa"/>
            <w:tcBorders>
              <w:top w:val="single" w:sz="8" w:space="0" w:color="000000"/>
            </w:tcBorders>
          </w:tcPr>
          <w:p>
            <w:pPr>
              <w:pStyle w:val="TableParagraph"/>
              <w:rPr>
                <w:sz w:val="16"/>
              </w:rPr>
            </w:pPr>
          </w:p>
        </w:tc>
        <w:tc>
          <w:tcPr>
            <w:tcW w:w="1232" w:type="dxa"/>
            <w:tcBorders>
              <w:top w:val="single" w:sz="8" w:space="0" w:color="000000"/>
            </w:tcBorders>
          </w:tcPr>
          <w:p>
            <w:pPr>
              <w:pStyle w:val="TableParagraph"/>
              <w:rPr>
                <w:sz w:val="16"/>
              </w:rPr>
            </w:pPr>
          </w:p>
        </w:tc>
        <w:tc>
          <w:tcPr>
            <w:tcW w:w="1166" w:type="dxa"/>
            <w:tcBorders>
              <w:top w:val="single" w:sz="8" w:space="0" w:color="000000"/>
            </w:tcBorders>
          </w:tcPr>
          <w:p>
            <w:pPr>
              <w:pStyle w:val="TableParagraph"/>
              <w:rPr>
                <w:sz w:val="16"/>
              </w:rPr>
            </w:pPr>
          </w:p>
        </w:tc>
        <w:tc>
          <w:tcPr>
            <w:tcW w:w="1860" w:type="dxa"/>
            <w:tcBorders>
              <w:top w:val="single" w:sz="8" w:space="0" w:color="000000"/>
            </w:tcBorders>
          </w:tcPr>
          <w:p>
            <w:pPr>
              <w:pStyle w:val="TableParagraph"/>
              <w:rPr>
                <w:sz w:val="16"/>
              </w:rPr>
            </w:pPr>
          </w:p>
        </w:tc>
      </w:tr>
      <w:tr>
        <w:trPr>
          <w:trHeight w:val="226" w:hRule="atLeast"/>
        </w:trPr>
        <w:tc>
          <w:tcPr>
            <w:tcW w:w="3044" w:type="dxa"/>
          </w:tcPr>
          <w:p>
            <w:pPr>
              <w:pStyle w:val="TableParagraph"/>
              <w:spacing w:before="18"/>
              <w:ind w:left="229"/>
              <w:rPr>
                <w:sz w:val="16"/>
              </w:rPr>
            </w:pPr>
            <w:r>
              <w:rPr>
                <w:sz w:val="16"/>
              </w:rPr>
              <w:t>Proyectos</w:t>
            </w:r>
            <w:r>
              <w:rPr>
                <w:spacing w:val="-8"/>
                <w:sz w:val="16"/>
              </w:rPr>
              <w:t> </w:t>
            </w:r>
            <w:r>
              <w:rPr>
                <w:spacing w:val="-2"/>
                <w:sz w:val="16"/>
              </w:rPr>
              <w:t>ferroviarios</w:t>
            </w:r>
          </w:p>
        </w:tc>
        <w:tc>
          <w:tcPr>
            <w:tcW w:w="1198" w:type="dxa"/>
          </w:tcPr>
          <w:p>
            <w:pPr>
              <w:pStyle w:val="TableParagraph"/>
              <w:spacing w:before="18"/>
              <w:ind w:right="118"/>
              <w:jc w:val="right"/>
              <w:rPr>
                <w:sz w:val="16"/>
              </w:rPr>
            </w:pPr>
            <w:r>
              <w:rPr>
                <w:spacing w:val="-2"/>
                <w:sz w:val="16"/>
              </w:rPr>
              <w:t>4.959.549,86</w:t>
            </w:r>
          </w:p>
        </w:tc>
        <w:tc>
          <w:tcPr>
            <w:tcW w:w="1232" w:type="dxa"/>
          </w:tcPr>
          <w:p>
            <w:pPr>
              <w:pStyle w:val="TableParagraph"/>
              <w:spacing w:before="18"/>
              <w:ind w:right="157"/>
              <w:jc w:val="right"/>
              <w:rPr>
                <w:sz w:val="16"/>
              </w:rPr>
            </w:pPr>
            <w:r>
              <w:rPr>
                <w:spacing w:val="-2"/>
                <w:sz w:val="16"/>
              </w:rPr>
              <w:t>59.346,01</w:t>
            </w:r>
          </w:p>
        </w:tc>
        <w:tc>
          <w:tcPr>
            <w:tcW w:w="1166" w:type="dxa"/>
          </w:tcPr>
          <w:p>
            <w:pPr>
              <w:pStyle w:val="TableParagraph"/>
              <w:spacing w:before="18"/>
              <w:ind w:right="68"/>
              <w:jc w:val="right"/>
              <w:rPr>
                <w:sz w:val="16"/>
              </w:rPr>
            </w:pPr>
            <w:r>
              <w:rPr>
                <w:spacing w:val="-2"/>
                <w:sz w:val="16"/>
              </w:rPr>
              <w:t>21.992,90</w:t>
            </w:r>
          </w:p>
        </w:tc>
        <w:tc>
          <w:tcPr>
            <w:tcW w:w="1860" w:type="dxa"/>
          </w:tcPr>
          <w:p>
            <w:pPr>
              <w:pStyle w:val="TableParagraph"/>
              <w:spacing w:before="18"/>
              <w:ind w:right="68"/>
              <w:jc w:val="right"/>
              <w:rPr>
                <w:b/>
                <w:sz w:val="16"/>
              </w:rPr>
            </w:pPr>
            <w:r>
              <w:rPr>
                <w:b/>
                <w:spacing w:val="-2"/>
                <w:sz w:val="16"/>
              </w:rPr>
              <w:t>5.040.888,77</w:t>
            </w:r>
          </w:p>
        </w:tc>
      </w:tr>
      <w:tr>
        <w:trPr>
          <w:trHeight w:val="226" w:hRule="atLeast"/>
        </w:trPr>
        <w:tc>
          <w:tcPr>
            <w:tcW w:w="3044" w:type="dxa"/>
          </w:tcPr>
          <w:p>
            <w:pPr>
              <w:pStyle w:val="TableParagraph"/>
              <w:spacing w:before="18"/>
              <w:ind w:left="229"/>
              <w:rPr>
                <w:sz w:val="16"/>
              </w:rPr>
            </w:pPr>
            <w:r>
              <w:rPr>
                <w:sz w:val="16"/>
              </w:rPr>
              <w:t>Obra</w:t>
            </w:r>
            <w:r>
              <w:rPr>
                <w:spacing w:val="-5"/>
                <w:sz w:val="16"/>
              </w:rPr>
              <w:t> </w:t>
            </w:r>
            <w:r>
              <w:rPr>
                <w:sz w:val="16"/>
              </w:rPr>
              <w:t>Fases</w:t>
            </w:r>
            <w:r>
              <w:rPr>
                <w:spacing w:val="-3"/>
                <w:sz w:val="16"/>
              </w:rPr>
              <w:t> </w:t>
            </w:r>
            <w:r>
              <w:rPr>
                <w:sz w:val="16"/>
              </w:rPr>
              <w:t>1</w:t>
            </w:r>
            <w:r>
              <w:rPr>
                <w:spacing w:val="-4"/>
                <w:sz w:val="16"/>
              </w:rPr>
              <w:t> </w:t>
            </w:r>
            <w:r>
              <w:rPr>
                <w:sz w:val="16"/>
              </w:rPr>
              <w:t>y</w:t>
            </w:r>
            <w:r>
              <w:rPr>
                <w:spacing w:val="-3"/>
                <w:sz w:val="16"/>
              </w:rPr>
              <w:t> </w:t>
            </w:r>
            <w:r>
              <w:rPr>
                <w:spacing w:val="-10"/>
                <w:sz w:val="16"/>
              </w:rPr>
              <w:t>2</w:t>
            </w:r>
          </w:p>
        </w:tc>
        <w:tc>
          <w:tcPr>
            <w:tcW w:w="1198" w:type="dxa"/>
          </w:tcPr>
          <w:p>
            <w:pPr>
              <w:pStyle w:val="TableParagraph"/>
              <w:spacing w:before="18"/>
              <w:ind w:right="119"/>
              <w:jc w:val="right"/>
              <w:rPr>
                <w:sz w:val="16"/>
              </w:rPr>
            </w:pPr>
            <w:r>
              <w:rPr>
                <w:spacing w:val="-2"/>
                <w:sz w:val="16"/>
              </w:rPr>
              <w:t>236.129.259,58</w:t>
            </w:r>
          </w:p>
        </w:tc>
        <w:tc>
          <w:tcPr>
            <w:tcW w:w="1232" w:type="dxa"/>
          </w:tcPr>
          <w:p>
            <w:pPr>
              <w:pStyle w:val="TableParagraph"/>
              <w:spacing w:before="18"/>
              <w:ind w:right="157"/>
              <w:jc w:val="right"/>
              <w:rPr>
                <w:sz w:val="16"/>
              </w:rPr>
            </w:pPr>
            <w:r>
              <w:rPr>
                <w:spacing w:val="-2"/>
                <w:sz w:val="16"/>
              </w:rPr>
              <w:t>2.552.980,95</w:t>
            </w:r>
          </w:p>
        </w:tc>
        <w:tc>
          <w:tcPr>
            <w:tcW w:w="1166" w:type="dxa"/>
          </w:tcPr>
          <w:p>
            <w:pPr>
              <w:pStyle w:val="TableParagraph"/>
              <w:spacing w:before="18"/>
              <w:ind w:right="68"/>
              <w:jc w:val="right"/>
              <w:rPr>
                <w:sz w:val="16"/>
              </w:rPr>
            </w:pPr>
            <w:r>
              <w:rPr>
                <w:spacing w:val="-2"/>
                <w:sz w:val="16"/>
              </w:rPr>
              <w:t>882.711,02</w:t>
            </w:r>
          </w:p>
        </w:tc>
        <w:tc>
          <w:tcPr>
            <w:tcW w:w="1860" w:type="dxa"/>
          </w:tcPr>
          <w:p>
            <w:pPr>
              <w:pStyle w:val="TableParagraph"/>
              <w:spacing w:before="18"/>
              <w:ind w:right="68"/>
              <w:jc w:val="right"/>
              <w:rPr>
                <w:b/>
                <w:sz w:val="16"/>
              </w:rPr>
            </w:pPr>
            <w:r>
              <w:rPr>
                <w:b/>
                <w:spacing w:val="-2"/>
                <w:sz w:val="16"/>
              </w:rPr>
              <w:t>239.564.951,55</w:t>
            </w:r>
          </w:p>
        </w:tc>
      </w:tr>
      <w:tr>
        <w:trPr>
          <w:trHeight w:val="226" w:hRule="atLeast"/>
        </w:trPr>
        <w:tc>
          <w:tcPr>
            <w:tcW w:w="3044" w:type="dxa"/>
          </w:tcPr>
          <w:p>
            <w:pPr>
              <w:pStyle w:val="TableParagraph"/>
              <w:spacing w:before="18"/>
              <w:ind w:right="290"/>
              <w:jc w:val="right"/>
              <w:rPr>
                <w:sz w:val="16"/>
              </w:rPr>
            </w:pPr>
            <w:r>
              <w:rPr>
                <w:sz w:val="16"/>
              </w:rPr>
              <w:t>Intermodalidad</w:t>
            </w:r>
            <w:r>
              <w:rPr>
                <w:spacing w:val="-5"/>
                <w:sz w:val="16"/>
              </w:rPr>
              <w:t> </w:t>
            </w:r>
            <w:r>
              <w:rPr>
                <w:sz w:val="16"/>
              </w:rPr>
              <w:t>-</w:t>
            </w:r>
            <w:r>
              <w:rPr>
                <w:spacing w:val="-5"/>
                <w:sz w:val="16"/>
              </w:rPr>
              <w:t> </w:t>
            </w:r>
            <w:r>
              <w:rPr>
                <w:sz w:val="16"/>
              </w:rPr>
              <w:t>Estación</w:t>
            </w:r>
            <w:r>
              <w:rPr>
                <w:spacing w:val="-4"/>
                <w:sz w:val="16"/>
              </w:rPr>
              <w:t> </w:t>
            </w:r>
            <w:r>
              <w:rPr>
                <w:sz w:val="16"/>
              </w:rPr>
              <w:t>de</w:t>
            </w:r>
            <w:r>
              <w:rPr>
                <w:spacing w:val="-6"/>
                <w:sz w:val="16"/>
              </w:rPr>
              <w:t> </w:t>
            </w:r>
            <w:r>
              <w:rPr>
                <w:spacing w:val="-2"/>
                <w:sz w:val="16"/>
              </w:rPr>
              <w:t>autobuses</w:t>
            </w:r>
          </w:p>
        </w:tc>
        <w:tc>
          <w:tcPr>
            <w:tcW w:w="1198" w:type="dxa"/>
          </w:tcPr>
          <w:p>
            <w:pPr>
              <w:pStyle w:val="TableParagraph"/>
              <w:spacing w:before="18"/>
              <w:ind w:right="118"/>
              <w:jc w:val="right"/>
              <w:rPr>
                <w:sz w:val="16"/>
              </w:rPr>
            </w:pPr>
            <w:r>
              <w:rPr>
                <w:spacing w:val="-2"/>
                <w:sz w:val="16"/>
              </w:rPr>
              <w:t>85.910,00</w:t>
            </w:r>
          </w:p>
        </w:tc>
        <w:tc>
          <w:tcPr>
            <w:tcW w:w="1232" w:type="dxa"/>
          </w:tcPr>
          <w:p>
            <w:pPr>
              <w:pStyle w:val="TableParagraph"/>
              <w:spacing w:before="18"/>
              <w:ind w:right="158"/>
              <w:jc w:val="right"/>
              <w:rPr>
                <w:sz w:val="16"/>
              </w:rPr>
            </w:pPr>
            <w:r>
              <w:rPr>
                <w:spacing w:val="-2"/>
                <w:sz w:val="16"/>
              </w:rPr>
              <w:t>427,82</w:t>
            </w:r>
          </w:p>
        </w:tc>
        <w:tc>
          <w:tcPr>
            <w:tcW w:w="1166" w:type="dxa"/>
          </w:tcPr>
          <w:p>
            <w:pPr>
              <w:pStyle w:val="TableParagraph"/>
              <w:spacing w:before="18"/>
              <w:ind w:right="68"/>
              <w:jc w:val="right"/>
              <w:rPr>
                <w:sz w:val="16"/>
              </w:rPr>
            </w:pPr>
            <w:r>
              <w:rPr>
                <w:spacing w:val="-2"/>
                <w:sz w:val="16"/>
              </w:rPr>
              <w:t>18,15</w:t>
            </w:r>
          </w:p>
        </w:tc>
        <w:tc>
          <w:tcPr>
            <w:tcW w:w="1860" w:type="dxa"/>
          </w:tcPr>
          <w:p>
            <w:pPr>
              <w:pStyle w:val="TableParagraph"/>
              <w:spacing w:before="18"/>
              <w:ind w:right="68"/>
              <w:jc w:val="right"/>
              <w:rPr>
                <w:b/>
                <w:sz w:val="16"/>
              </w:rPr>
            </w:pPr>
            <w:r>
              <w:rPr>
                <w:b/>
                <w:spacing w:val="-2"/>
                <w:sz w:val="16"/>
              </w:rPr>
              <w:t>86.355,97</w:t>
            </w:r>
          </w:p>
        </w:tc>
      </w:tr>
      <w:tr>
        <w:trPr>
          <w:trHeight w:val="227" w:hRule="atLeast"/>
        </w:trPr>
        <w:tc>
          <w:tcPr>
            <w:tcW w:w="3044" w:type="dxa"/>
          </w:tcPr>
          <w:p>
            <w:pPr>
              <w:pStyle w:val="TableParagraph"/>
              <w:spacing w:before="18"/>
              <w:ind w:left="229"/>
              <w:rPr>
                <w:sz w:val="16"/>
              </w:rPr>
            </w:pPr>
            <w:r>
              <w:rPr>
                <w:sz w:val="16"/>
              </w:rPr>
              <w:t>Aparcamiento</w:t>
            </w:r>
            <w:r>
              <w:rPr>
                <w:spacing w:val="-8"/>
                <w:sz w:val="16"/>
              </w:rPr>
              <w:t> </w:t>
            </w:r>
            <w:r>
              <w:rPr>
                <w:sz w:val="16"/>
              </w:rPr>
              <w:t>estación</w:t>
            </w:r>
            <w:r>
              <w:rPr>
                <w:spacing w:val="-8"/>
                <w:sz w:val="16"/>
              </w:rPr>
              <w:t> </w:t>
            </w:r>
            <w:r>
              <w:rPr>
                <w:spacing w:val="-2"/>
                <w:sz w:val="16"/>
              </w:rPr>
              <w:t>intermodal</w:t>
            </w:r>
          </w:p>
        </w:tc>
        <w:tc>
          <w:tcPr>
            <w:tcW w:w="1198" w:type="dxa"/>
          </w:tcPr>
          <w:p>
            <w:pPr>
              <w:pStyle w:val="TableParagraph"/>
              <w:spacing w:before="18"/>
              <w:ind w:right="118"/>
              <w:jc w:val="right"/>
              <w:rPr>
                <w:sz w:val="16"/>
              </w:rPr>
            </w:pPr>
            <w:r>
              <w:rPr>
                <w:spacing w:val="-2"/>
                <w:sz w:val="16"/>
              </w:rPr>
              <w:t>10.500,00</w:t>
            </w:r>
          </w:p>
        </w:tc>
        <w:tc>
          <w:tcPr>
            <w:tcW w:w="1232" w:type="dxa"/>
          </w:tcPr>
          <w:p>
            <w:pPr>
              <w:pStyle w:val="TableParagraph"/>
              <w:spacing w:before="18"/>
              <w:ind w:right="158"/>
              <w:jc w:val="right"/>
              <w:rPr>
                <w:sz w:val="16"/>
              </w:rPr>
            </w:pPr>
            <w:r>
              <w:rPr>
                <w:spacing w:val="-2"/>
                <w:sz w:val="16"/>
              </w:rPr>
              <w:t>122,46</w:t>
            </w:r>
          </w:p>
        </w:tc>
        <w:tc>
          <w:tcPr>
            <w:tcW w:w="1166" w:type="dxa"/>
          </w:tcPr>
          <w:p>
            <w:pPr>
              <w:pStyle w:val="TableParagraph"/>
              <w:spacing w:before="18"/>
              <w:ind w:right="68"/>
              <w:jc w:val="right"/>
              <w:rPr>
                <w:sz w:val="16"/>
              </w:rPr>
            </w:pPr>
            <w:r>
              <w:rPr>
                <w:spacing w:val="-2"/>
                <w:sz w:val="16"/>
              </w:rPr>
              <w:t>45,38</w:t>
            </w:r>
          </w:p>
        </w:tc>
        <w:tc>
          <w:tcPr>
            <w:tcW w:w="1860" w:type="dxa"/>
          </w:tcPr>
          <w:p>
            <w:pPr>
              <w:pStyle w:val="TableParagraph"/>
              <w:spacing w:before="18"/>
              <w:ind w:right="68"/>
              <w:jc w:val="right"/>
              <w:rPr>
                <w:b/>
                <w:sz w:val="16"/>
              </w:rPr>
            </w:pPr>
            <w:r>
              <w:rPr>
                <w:b/>
                <w:spacing w:val="-2"/>
                <w:sz w:val="16"/>
              </w:rPr>
              <w:t>10.667,84</w:t>
            </w:r>
          </w:p>
        </w:tc>
      </w:tr>
      <w:tr>
        <w:trPr>
          <w:trHeight w:val="223" w:hRule="atLeast"/>
        </w:trPr>
        <w:tc>
          <w:tcPr>
            <w:tcW w:w="3044" w:type="dxa"/>
          </w:tcPr>
          <w:p>
            <w:pPr>
              <w:pStyle w:val="TableParagraph"/>
              <w:spacing w:before="18"/>
              <w:ind w:left="69"/>
              <w:rPr>
                <w:sz w:val="16"/>
              </w:rPr>
            </w:pPr>
            <w:r>
              <w:rPr>
                <w:spacing w:val="-2"/>
                <w:sz w:val="16"/>
              </w:rPr>
              <w:t>Actuaciones</w:t>
            </w:r>
            <w:r>
              <w:rPr>
                <w:spacing w:val="11"/>
                <w:sz w:val="16"/>
              </w:rPr>
              <w:t> </w:t>
            </w:r>
            <w:r>
              <w:rPr>
                <w:spacing w:val="-2"/>
                <w:sz w:val="16"/>
              </w:rPr>
              <w:t>urbanísticas-</w:t>
            </w:r>
            <w:r>
              <w:rPr>
                <w:spacing w:val="12"/>
                <w:sz w:val="16"/>
              </w:rPr>
              <w:t> </w:t>
            </w:r>
            <w:r>
              <w:rPr>
                <w:spacing w:val="-2"/>
                <w:sz w:val="16"/>
              </w:rPr>
              <w:t>Proyectos</w:t>
            </w:r>
          </w:p>
        </w:tc>
        <w:tc>
          <w:tcPr>
            <w:tcW w:w="1198" w:type="dxa"/>
            <w:tcBorders>
              <w:bottom w:val="single" w:sz="8" w:space="0" w:color="000000"/>
            </w:tcBorders>
          </w:tcPr>
          <w:p>
            <w:pPr>
              <w:pStyle w:val="TableParagraph"/>
              <w:spacing w:before="18"/>
              <w:ind w:right="118"/>
              <w:jc w:val="right"/>
              <w:rPr>
                <w:sz w:val="16"/>
              </w:rPr>
            </w:pPr>
            <w:r>
              <w:rPr>
                <w:spacing w:val="-2"/>
                <w:sz w:val="16"/>
              </w:rPr>
              <w:t>727.359,18</w:t>
            </w:r>
          </w:p>
        </w:tc>
        <w:tc>
          <w:tcPr>
            <w:tcW w:w="1232" w:type="dxa"/>
            <w:tcBorders>
              <w:bottom w:val="single" w:sz="8" w:space="0" w:color="000000"/>
            </w:tcBorders>
          </w:tcPr>
          <w:p>
            <w:pPr>
              <w:pStyle w:val="TableParagraph"/>
              <w:spacing w:before="18"/>
              <w:ind w:right="158"/>
              <w:jc w:val="right"/>
              <w:rPr>
                <w:sz w:val="16"/>
              </w:rPr>
            </w:pPr>
            <w:r>
              <w:rPr>
                <w:spacing w:val="-2"/>
                <w:sz w:val="16"/>
              </w:rPr>
              <w:t>8.174,33</w:t>
            </w:r>
          </w:p>
        </w:tc>
        <w:tc>
          <w:tcPr>
            <w:tcW w:w="1166" w:type="dxa"/>
            <w:tcBorders>
              <w:bottom w:val="single" w:sz="8" w:space="0" w:color="000000"/>
            </w:tcBorders>
          </w:tcPr>
          <w:p>
            <w:pPr>
              <w:pStyle w:val="TableParagraph"/>
              <w:spacing w:before="18"/>
              <w:ind w:right="68"/>
              <w:jc w:val="right"/>
              <w:rPr>
                <w:sz w:val="16"/>
              </w:rPr>
            </w:pPr>
            <w:r>
              <w:rPr>
                <w:spacing w:val="-2"/>
                <w:sz w:val="16"/>
              </w:rPr>
              <w:t>2.904,55</w:t>
            </w:r>
          </w:p>
        </w:tc>
        <w:tc>
          <w:tcPr>
            <w:tcW w:w="1860" w:type="dxa"/>
            <w:tcBorders>
              <w:bottom w:val="single" w:sz="8" w:space="0" w:color="000000"/>
            </w:tcBorders>
          </w:tcPr>
          <w:p>
            <w:pPr>
              <w:pStyle w:val="TableParagraph"/>
              <w:spacing w:before="18"/>
              <w:ind w:right="68"/>
              <w:jc w:val="right"/>
              <w:rPr>
                <w:b/>
                <w:sz w:val="16"/>
              </w:rPr>
            </w:pPr>
            <w:r>
              <w:rPr>
                <w:b/>
                <w:spacing w:val="-2"/>
                <w:sz w:val="16"/>
              </w:rPr>
              <w:t>738.438,06</w:t>
            </w:r>
          </w:p>
        </w:tc>
      </w:tr>
      <w:tr>
        <w:trPr>
          <w:trHeight w:val="227" w:hRule="atLeast"/>
        </w:trPr>
        <w:tc>
          <w:tcPr>
            <w:tcW w:w="3044" w:type="dxa"/>
          </w:tcPr>
          <w:p>
            <w:pPr>
              <w:pStyle w:val="TableParagraph"/>
              <w:spacing w:before="20"/>
              <w:ind w:left="6"/>
              <w:jc w:val="center"/>
              <w:rPr>
                <w:b/>
                <w:sz w:val="16"/>
              </w:rPr>
            </w:pPr>
            <w:r>
              <w:rPr>
                <w:b/>
                <w:spacing w:val="-2"/>
                <w:sz w:val="16"/>
              </w:rPr>
              <w:t>Total</w:t>
            </w:r>
          </w:p>
        </w:tc>
        <w:tc>
          <w:tcPr>
            <w:tcW w:w="1198" w:type="dxa"/>
            <w:tcBorders>
              <w:top w:val="single" w:sz="8" w:space="0" w:color="000000"/>
              <w:bottom w:val="double" w:sz="6" w:space="0" w:color="000000"/>
            </w:tcBorders>
          </w:tcPr>
          <w:p>
            <w:pPr>
              <w:pStyle w:val="TableParagraph"/>
              <w:spacing w:before="20"/>
              <w:ind w:right="119"/>
              <w:jc w:val="right"/>
              <w:rPr>
                <w:b/>
                <w:sz w:val="16"/>
              </w:rPr>
            </w:pPr>
            <w:r>
              <w:rPr>
                <w:b/>
                <w:spacing w:val="-2"/>
                <w:sz w:val="16"/>
              </w:rPr>
              <w:t>241.912.578,62</w:t>
            </w:r>
          </w:p>
        </w:tc>
        <w:tc>
          <w:tcPr>
            <w:tcW w:w="1232" w:type="dxa"/>
            <w:tcBorders>
              <w:top w:val="single" w:sz="8" w:space="0" w:color="000000"/>
              <w:bottom w:val="double" w:sz="6" w:space="0" w:color="000000"/>
            </w:tcBorders>
          </w:tcPr>
          <w:p>
            <w:pPr>
              <w:pStyle w:val="TableParagraph"/>
              <w:spacing w:before="20"/>
              <w:ind w:right="157"/>
              <w:jc w:val="right"/>
              <w:rPr>
                <w:b/>
                <w:sz w:val="16"/>
              </w:rPr>
            </w:pPr>
            <w:r>
              <w:rPr>
                <w:b/>
                <w:spacing w:val="-2"/>
                <w:sz w:val="16"/>
              </w:rPr>
              <w:t>2.621.051,57</w:t>
            </w:r>
          </w:p>
        </w:tc>
        <w:tc>
          <w:tcPr>
            <w:tcW w:w="1166" w:type="dxa"/>
            <w:tcBorders>
              <w:top w:val="single" w:sz="8" w:space="0" w:color="000000"/>
              <w:bottom w:val="double" w:sz="6" w:space="0" w:color="000000"/>
            </w:tcBorders>
          </w:tcPr>
          <w:p>
            <w:pPr>
              <w:pStyle w:val="TableParagraph"/>
              <w:spacing w:before="20"/>
              <w:ind w:right="68"/>
              <w:jc w:val="right"/>
              <w:rPr>
                <w:b/>
                <w:sz w:val="16"/>
              </w:rPr>
            </w:pPr>
            <w:r>
              <w:rPr>
                <w:b/>
                <w:spacing w:val="-2"/>
                <w:sz w:val="16"/>
              </w:rPr>
              <w:t>907.672,00</w:t>
            </w:r>
          </w:p>
        </w:tc>
        <w:tc>
          <w:tcPr>
            <w:tcW w:w="1860" w:type="dxa"/>
            <w:tcBorders>
              <w:top w:val="single" w:sz="8" w:space="0" w:color="000000"/>
              <w:bottom w:val="double" w:sz="6" w:space="0" w:color="000000"/>
            </w:tcBorders>
          </w:tcPr>
          <w:p>
            <w:pPr>
              <w:pStyle w:val="TableParagraph"/>
              <w:spacing w:before="20"/>
              <w:ind w:right="68"/>
              <w:jc w:val="right"/>
              <w:rPr>
                <w:b/>
                <w:sz w:val="16"/>
              </w:rPr>
            </w:pPr>
            <w:r>
              <w:rPr>
                <w:b/>
                <w:spacing w:val="-2"/>
                <w:sz w:val="16"/>
              </w:rPr>
              <w:t>245.441.302,19</w:t>
            </w:r>
          </w:p>
        </w:tc>
      </w:tr>
    </w:tbl>
    <w:p>
      <w:pPr>
        <w:pStyle w:val="BodyText"/>
        <w:spacing w:before="24"/>
      </w:pPr>
    </w:p>
    <w:p>
      <w:pPr>
        <w:pStyle w:val="Heading1"/>
        <w:numPr>
          <w:ilvl w:val="0"/>
          <w:numId w:val="11"/>
        </w:numPr>
        <w:tabs>
          <w:tab w:pos="708" w:val="left" w:leader="none"/>
        </w:tabs>
        <w:spacing w:line="240" w:lineRule="auto" w:before="0" w:after="0"/>
        <w:ind w:left="708" w:right="0" w:hanging="358"/>
        <w:jc w:val="left"/>
      </w:pPr>
      <w:r>
        <w:rPr/>
        <w:t>Fondos</w:t>
      </w:r>
      <w:r>
        <w:rPr>
          <w:spacing w:val="-8"/>
        </w:rPr>
        <w:t> </w:t>
      </w:r>
      <w:r>
        <w:rPr>
          <w:spacing w:val="-2"/>
        </w:rPr>
        <w:t>Propios</w:t>
      </w:r>
    </w:p>
    <w:p>
      <w:pPr>
        <w:pStyle w:val="BodyText"/>
        <w:spacing w:before="13"/>
        <w:rPr>
          <w:b/>
        </w:rPr>
      </w:pPr>
    </w:p>
    <w:p>
      <w:pPr>
        <w:pStyle w:val="ListParagraph"/>
        <w:numPr>
          <w:ilvl w:val="1"/>
          <w:numId w:val="11"/>
        </w:numPr>
        <w:tabs>
          <w:tab w:pos="1276" w:val="left" w:leader="none"/>
        </w:tabs>
        <w:spacing w:line="240" w:lineRule="auto" w:before="0" w:after="0"/>
        <w:ind w:left="1276" w:right="0" w:hanging="283"/>
        <w:jc w:val="left"/>
        <w:rPr>
          <w:sz w:val="22"/>
        </w:rPr>
      </w:pPr>
      <w:r>
        <w:rPr>
          <w:spacing w:val="-2"/>
          <w:sz w:val="22"/>
        </w:rPr>
        <w:t>Capital</w:t>
      </w:r>
      <w:r>
        <w:rPr>
          <w:spacing w:val="-11"/>
          <w:sz w:val="22"/>
        </w:rPr>
        <w:t> </w:t>
      </w:r>
      <w:r>
        <w:rPr>
          <w:spacing w:val="-2"/>
          <w:sz w:val="22"/>
        </w:rPr>
        <w:t>social</w:t>
      </w:r>
    </w:p>
    <w:p>
      <w:pPr>
        <w:pStyle w:val="BodyText"/>
        <w:spacing w:before="15"/>
      </w:pPr>
    </w:p>
    <w:p>
      <w:pPr>
        <w:pStyle w:val="BodyText"/>
        <w:spacing w:line="247" w:lineRule="auto"/>
        <w:ind w:left="1418" w:right="840"/>
        <w:jc w:val="both"/>
      </w:pPr>
      <w:r>
        <w:rPr/>
        <w:t>El capital social asciende a 600.000 euros, representado por 10.000 acciones, de 60,00 euros de valor nominal cada una, todas ellas de la misma clase, totalmente suscritas y desembolsadas, confiriendo los mismos derechos a sus tenedores.</w:t>
      </w:r>
    </w:p>
    <w:p>
      <w:pPr>
        <w:pStyle w:val="BodyText"/>
        <w:spacing w:before="7"/>
      </w:pPr>
    </w:p>
    <w:p>
      <w:pPr>
        <w:pStyle w:val="BodyText"/>
        <w:spacing w:line="247" w:lineRule="auto"/>
        <w:ind w:left="1418" w:right="844"/>
        <w:jc w:val="both"/>
      </w:pPr>
      <w:r>
        <w:rPr/>
        <w:t>Con fecha 13 de diciembre de 2013, se aprobó el Real Decreto-Ley 15/2013, por el que se creó una</w:t>
      </w:r>
      <w:r>
        <w:rPr>
          <w:spacing w:val="-8"/>
        </w:rPr>
        <w:t> </w:t>
      </w:r>
      <w:r>
        <w:rPr/>
        <w:t>nueva</w:t>
      </w:r>
      <w:r>
        <w:rPr>
          <w:spacing w:val="-8"/>
        </w:rPr>
        <w:t> </w:t>
      </w:r>
      <w:r>
        <w:rPr/>
        <w:t>entidad</w:t>
      </w:r>
      <w:r>
        <w:rPr>
          <w:spacing w:val="-8"/>
        </w:rPr>
        <w:t> </w:t>
      </w:r>
      <w:r>
        <w:rPr/>
        <w:t>(ADIF-Alta</w:t>
      </w:r>
      <w:r>
        <w:rPr>
          <w:spacing w:val="-8"/>
        </w:rPr>
        <w:t> </w:t>
      </w:r>
      <w:r>
        <w:rPr/>
        <w:t>Velocidad)</w:t>
      </w:r>
      <w:r>
        <w:rPr>
          <w:spacing w:val="-8"/>
        </w:rPr>
        <w:t> </w:t>
      </w:r>
      <w:r>
        <w:rPr/>
        <w:t>por</w:t>
      </w:r>
      <w:r>
        <w:rPr>
          <w:spacing w:val="-8"/>
        </w:rPr>
        <w:t> </w:t>
      </w:r>
      <w:r>
        <w:rPr/>
        <w:t>escisión</w:t>
      </w:r>
      <w:r>
        <w:rPr>
          <w:spacing w:val="-8"/>
        </w:rPr>
        <w:t> </w:t>
      </w:r>
      <w:r>
        <w:rPr/>
        <w:t>de</w:t>
      </w:r>
      <w:r>
        <w:rPr>
          <w:spacing w:val="-8"/>
        </w:rPr>
        <w:t> </w:t>
      </w:r>
      <w:r>
        <w:rPr/>
        <w:t>la</w:t>
      </w:r>
      <w:r>
        <w:rPr>
          <w:spacing w:val="-8"/>
        </w:rPr>
        <w:t> </w:t>
      </w:r>
      <w:r>
        <w:rPr/>
        <w:t>rama</w:t>
      </w:r>
      <w:r>
        <w:rPr>
          <w:spacing w:val="-8"/>
        </w:rPr>
        <w:t> </w:t>
      </w:r>
      <w:r>
        <w:rPr/>
        <w:t>de</w:t>
      </w:r>
      <w:r>
        <w:rPr>
          <w:spacing w:val="-8"/>
        </w:rPr>
        <w:t> </w:t>
      </w:r>
      <w:r>
        <w:rPr/>
        <w:t>actividad</w:t>
      </w:r>
      <w:r>
        <w:rPr>
          <w:spacing w:val="-8"/>
        </w:rPr>
        <w:t> </w:t>
      </w:r>
      <w:r>
        <w:rPr/>
        <w:t>de</w:t>
      </w:r>
      <w:r>
        <w:rPr>
          <w:spacing w:val="-8"/>
        </w:rPr>
        <w:t> </w:t>
      </w:r>
      <w:r>
        <w:rPr/>
        <w:t>construcción</w:t>
      </w:r>
      <w:r>
        <w:rPr>
          <w:spacing w:val="31"/>
        </w:rPr>
        <w:t> </w:t>
      </w:r>
      <w:r>
        <w:rPr/>
        <w:t>y administración de infraestructuras de alta velocidad del Administrador de Infraestructuras Ferroviarias (ADIF). De manera que la gestión de las redes que actualmente administra dicha entidad se realice de forma independiente.</w:t>
      </w:r>
    </w:p>
    <w:p>
      <w:pPr>
        <w:pStyle w:val="BodyText"/>
        <w:spacing w:after="0" w:line="247" w:lineRule="auto"/>
        <w:jc w:val="both"/>
        <w:sectPr>
          <w:pgSz w:w="11910" w:h="16840"/>
          <w:pgMar w:header="694" w:footer="690" w:top="1920" w:bottom="880" w:left="708" w:right="425"/>
        </w:sectPr>
      </w:pPr>
    </w:p>
    <w:p>
      <w:pPr>
        <w:pStyle w:val="BodyText"/>
        <w:spacing w:line="247" w:lineRule="auto" w:before="187"/>
        <w:ind w:left="1418" w:right="794"/>
      </w:pPr>
      <w:r>
        <w:rPr/>
        <w:t>Las sociedades y entidades que cuentan con una participación igual o superior al 10% son las</w:t>
      </w:r>
      <w:r>
        <w:rPr>
          <w:spacing w:val="80"/>
        </w:rPr>
        <w:t> </w:t>
      </w:r>
      <w:r>
        <w:rPr>
          <w:spacing w:val="-2"/>
        </w:rPr>
        <w:t>siguientes:</w:t>
      </w:r>
    </w:p>
    <w:p>
      <w:pPr>
        <w:spacing w:line="266" w:lineRule="auto" w:before="18" w:after="11"/>
        <w:ind w:left="7574" w:right="1504" w:firstLine="91"/>
        <w:jc w:val="left"/>
        <w:rPr>
          <w:sz w:val="18"/>
        </w:rPr>
      </w:pPr>
      <w:r>
        <w:rPr>
          <w:spacing w:val="-2"/>
          <w:sz w:val="18"/>
        </w:rPr>
        <w:t>Porcentaje </w:t>
      </w:r>
      <w:r>
        <w:rPr>
          <w:spacing w:val="-4"/>
          <w:sz w:val="18"/>
        </w:rPr>
        <w:t>participación</w:t>
      </w:r>
    </w:p>
    <w:tbl>
      <w:tblPr>
        <w:tblW w:w="0" w:type="auto"/>
        <w:jc w:val="left"/>
        <w:tblInd w:w="1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97"/>
        <w:gridCol w:w="4643"/>
        <w:gridCol w:w="1167"/>
      </w:tblGrid>
      <w:tr>
        <w:trPr>
          <w:trHeight w:val="286" w:hRule="atLeast"/>
        </w:trPr>
        <w:tc>
          <w:tcPr>
            <w:tcW w:w="1797" w:type="dxa"/>
            <w:vMerge w:val="restart"/>
          </w:tcPr>
          <w:p>
            <w:pPr>
              <w:pStyle w:val="TableParagraph"/>
              <w:rPr>
                <w:sz w:val="20"/>
              </w:rPr>
            </w:pPr>
          </w:p>
        </w:tc>
        <w:tc>
          <w:tcPr>
            <w:tcW w:w="4643" w:type="dxa"/>
          </w:tcPr>
          <w:p>
            <w:pPr>
              <w:pStyle w:val="TableParagraph"/>
              <w:spacing w:before="47"/>
              <w:ind w:left="236"/>
              <w:rPr>
                <w:sz w:val="18"/>
              </w:rPr>
            </w:pPr>
            <w:r>
              <w:rPr>
                <w:spacing w:val="-2"/>
                <w:sz w:val="18"/>
              </w:rPr>
              <w:t>Administrador</w:t>
            </w:r>
            <w:r>
              <w:rPr>
                <w:spacing w:val="5"/>
                <w:sz w:val="18"/>
              </w:rPr>
              <w:t> </w:t>
            </w:r>
            <w:r>
              <w:rPr>
                <w:spacing w:val="-2"/>
                <w:sz w:val="18"/>
              </w:rPr>
              <w:t>de</w:t>
            </w:r>
            <w:r>
              <w:rPr>
                <w:spacing w:val="6"/>
                <w:sz w:val="18"/>
              </w:rPr>
              <w:t> </w:t>
            </w:r>
            <w:r>
              <w:rPr>
                <w:spacing w:val="-2"/>
                <w:sz w:val="18"/>
              </w:rPr>
              <w:t>Infraestructuras</w:t>
            </w:r>
            <w:r>
              <w:rPr>
                <w:spacing w:val="5"/>
                <w:sz w:val="18"/>
              </w:rPr>
              <w:t> </w:t>
            </w:r>
            <w:r>
              <w:rPr>
                <w:spacing w:val="-2"/>
                <w:sz w:val="18"/>
              </w:rPr>
              <w:t>Ferroviarias</w:t>
            </w:r>
            <w:r>
              <w:rPr>
                <w:spacing w:val="5"/>
                <w:sz w:val="18"/>
              </w:rPr>
              <w:t> </w:t>
            </w:r>
            <w:r>
              <w:rPr>
                <w:spacing w:val="-2"/>
                <w:sz w:val="18"/>
              </w:rPr>
              <w:t>(ADIF)</w:t>
            </w:r>
          </w:p>
        </w:tc>
        <w:tc>
          <w:tcPr>
            <w:tcW w:w="1167" w:type="dxa"/>
            <w:tcBorders>
              <w:top w:val="single" w:sz="8" w:space="0" w:color="000000"/>
            </w:tcBorders>
          </w:tcPr>
          <w:p>
            <w:pPr>
              <w:pStyle w:val="TableParagraph"/>
              <w:spacing w:before="47"/>
              <w:ind w:left="730"/>
              <w:rPr>
                <w:sz w:val="18"/>
              </w:rPr>
            </w:pPr>
            <w:r>
              <w:rPr>
                <w:spacing w:val="-5"/>
                <w:sz w:val="18"/>
              </w:rPr>
              <w:t>10%</w:t>
            </w:r>
          </w:p>
        </w:tc>
      </w:tr>
      <w:tr>
        <w:trPr>
          <w:trHeight w:val="263" w:hRule="atLeast"/>
        </w:trPr>
        <w:tc>
          <w:tcPr>
            <w:tcW w:w="1797" w:type="dxa"/>
            <w:vMerge/>
            <w:tcBorders>
              <w:top w:val="nil"/>
            </w:tcBorders>
          </w:tcPr>
          <w:p>
            <w:pPr>
              <w:rPr>
                <w:sz w:val="2"/>
                <w:szCs w:val="2"/>
              </w:rPr>
            </w:pPr>
          </w:p>
        </w:tc>
        <w:tc>
          <w:tcPr>
            <w:tcW w:w="4643" w:type="dxa"/>
          </w:tcPr>
          <w:p>
            <w:pPr>
              <w:pStyle w:val="TableParagraph"/>
              <w:spacing w:before="24"/>
              <w:ind w:left="236"/>
              <w:rPr>
                <w:sz w:val="18"/>
              </w:rPr>
            </w:pPr>
            <w:r>
              <w:rPr>
                <w:sz w:val="18"/>
              </w:rPr>
              <w:t>ADIF-</w:t>
            </w:r>
            <w:r>
              <w:rPr>
                <w:spacing w:val="-10"/>
                <w:sz w:val="18"/>
              </w:rPr>
              <w:t> </w:t>
            </w:r>
            <w:r>
              <w:rPr>
                <w:sz w:val="18"/>
              </w:rPr>
              <w:t>Alta</w:t>
            </w:r>
            <w:r>
              <w:rPr>
                <w:spacing w:val="-8"/>
                <w:sz w:val="18"/>
              </w:rPr>
              <w:t> </w:t>
            </w:r>
            <w:r>
              <w:rPr>
                <w:spacing w:val="-2"/>
                <w:sz w:val="18"/>
              </w:rPr>
              <w:t>Velocidad</w:t>
            </w:r>
          </w:p>
        </w:tc>
        <w:tc>
          <w:tcPr>
            <w:tcW w:w="1167" w:type="dxa"/>
          </w:tcPr>
          <w:p>
            <w:pPr>
              <w:pStyle w:val="TableParagraph"/>
              <w:spacing w:before="24"/>
              <w:ind w:left="730"/>
              <w:rPr>
                <w:sz w:val="18"/>
              </w:rPr>
            </w:pPr>
            <w:r>
              <w:rPr>
                <w:spacing w:val="-5"/>
                <w:sz w:val="18"/>
              </w:rPr>
              <w:t>40%</w:t>
            </w:r>
          </w:p>
        </w:tc>
      </w:tr>
      <w:tr>
        <w:trPr>
          <w:trHeight w:val="264" w:hRule="atLeast"/>
        </w:trPr>
        <w:tc>
          <w:tcPr>
            <w:tcW w:w="1797" w:type="dxa"/>
            <w:vMerge/>
            <w:tcBorders>
              <w:top w:val="nil"/>
            </w:tcBorders>
          </w:tcPr>
          <w:p>
            <w:pPr>
              <w:rPr>
                <w:sz w:val="2"/>
                <w:szCs w:val="2"/>
              </w:rPr>
            </w:pPr>
          </w:p>
        </w:tc>
        <w:tc>
          <w:tcPr>
            <w:tcW w:w="4643" w:type="dxa"/>
          </w:tcPr>
          <w:p>
            <w:pPr>
              <w:pStyle w:val="TableParagraph"/>
              <w:spacing w:before="24"/>
              <w:ind w:left="236"/>
              <w:rPr>
                <w:sz w:val="18"/>
              </w:rPr>
            </w:pPr>
            <w:r>
              <w:rPr>
                <w:sz w:val="18"/>
              </w:rPr>
              <w:t>Comunidad</w:t>
            </w:r>
            <w:r>
              <w:rPr>
                <w:spacing w:val="-7"/>
                <w:sz w:val="18"/>
              </w:rPr>
              <w:t> </w:t>
            </w:r>
            <w:r>
              <w:rPr>
                <w:sz w:val="18"/>
              </w:rPr>
              <w:t>Autónoma</w:t>
            </w:r>
            <w:r>
              <w:rPr>
                <w:spacing w:val="-6"/>
                <w:sz w:val="18"/>
              </w:rPr>
              <w:t> </w:t>
            </w:r>
            <w:r>
              <w:rPr>
                <w:sz w:val="18"/>
              </w:rPr>
              <w:t>de</w:t>
            </w:r>
            <w:r>
              <w:rPr>
                <w:spacing w:val="-6"/>
                <w:sz w:val="18"/>
              </w:rPr>
              <w:t> </w:t>
            </w:r>
            <w:r>
              <w:rPr>
                <w:sz w:val="18"/>
              </w:rPr>
              <w:t>la</w:t>
            </w:r>
            <w:r>
              <w:rPr>
                <w:spacing w:val="-8"/>
                <w:sz w:val="18"/>
              </w:rPr>
              <w:t> </w:t>
            </w:r>
            <w:r>
              <w:rPr>
                <w:sz w:val="18"/>
              </w:rPr>
              <w:t>Región</w:t>
            </w:r>
            <w:r>
              <w:rPr>
                <w:spacing w:val="-4"/>
                <w:sz w:val="18"/>
              </w:rPr>
              <w:t> </w:t>
            </w:r>
            <w:r>
              <w:rPr>
                <w:sz w:val="18"/>
              </w:rPr>
              <w:t>de</w:t>
            </w:r>
            <w:r>
              <w:rPr>
                <w:spacing w:val="-6"/>
                <w:sz w:val="18"/>
              </w:rPr>
              <w:t> </w:t>
            </w:r>
            <w:r>
              <w:rPr>
                <w:spacing w:val="-2"/>
                <w:sz w:val="18"/>
              </w:rPr>
              <w:t>Murcia</w:t>
            </w:r>
          </w:p>
        </w:tc>
        <w:tc>
          <w:tcPr>
            <w:tcW w:w="1167" w:type="dxa"/>
          </w:tcPr>
          <w:p>
            <w:pPr>
              <w:pStyle w:val="TableParagraph"/>
              <w:spacing w:before="24"/>
              <w:ind w:left="730"/>
              <w:rPr>
                <w:sz w:val="18"/>
              </w:rPr>
            </w:pPr>
            <w:r>
              <w:rPr>
                <w:spacing w:val="-5"/>
                <w:sz w:val="18"/>
              </w:rPr>
              <w:t>25%</w:t>
            </w:r>
          </w:p>
        </w:tc>
      </w:tr>
      <w:tr>
        <w:trPr>
          <w:trHeight w:val="269" w:hRule="atLeast"/>
        </w:trPr>
        <w:tc>
          <w:tcPr>
            <w:tcW w:w="1797" w:type="dxa"/>
            <w:vMerge/>
            <w:tcBorders>
              <w:top w:val="nil"/>
            </w:tcBorders>
          </w:tcPr>
          <w:p>
            <w:pPr>
              <w:rPr>
                <w:sz w:val="2"/>
                <w:szCs w:val="2"/>
              </w:rPr>
            </w:pPr>
          </w:p>
        </w:tc>
        <w:tc>
          <w:tcPr>
            <w:tcW w:w="4643" w:type="dxa"/>
          </w:tcPr>
          <w:p>
            <w:pPr>
              <w:pStyle w:val="TableParagraph"/>
              <w:spacing w:before="24"/>
              <w:ind w:left="236"/>
              <w:rPr>
                <w:sz w:val="18"/>
              </w:rPr>
            </w:pPr>
            <w:r>
              <w:rPr>
                <w:spacing w:val="-2"/>
                <w:sz w:val="18"/>
              </w:rPr>
              <w:t>Excmo.</w:t>
            </w:r>
            <w:r>
              <w:rPr>
                <w:spacing w:val="1"/>
                <w:sz w:val="18"/>
              </w:rPr>
              <w:t> </w:t>
            </w:r>
            <w:r>
              <w:rPr>
                <w:spacing w:val="-2"/>
                <w:sz w:val="18"/>
              </w:rPr>
              <w:t>Ayuntamiento</w:t>
            </w:r>
            <w:r>
              <w:rPr>
                <w:spacing w:val="3"/>
                <w:sz w:val="18"/>
              </w:rPr>
              <w:t> </w:t>
            </w:r>
            <w:r>
              <w:rPr>
                <w:spacing w:val="-2"/>
                <w:sz w:val="18"/>
              </w:rPr>
              <w:t>de</w:t>
            </w:r>
            <w:r>
              <w:rPr>
                <w:sz w:val="18"/>
              </w:rPr>
              <w:t> </w:t>
            </w:r>
            <w:r>
              <w:rPr>
                <w:spacing w:val="-2"/>
                <w:sz w:val="18"/>
              </w:rPr>
              <w:t>Murcia</w:t>
            </w:r>
          </w:p>
        </w:tc>
        <w:tc>
          <w:tcPr>
            <w:tcW w:w="1167" w:type="dxa"/>
          </w:tcPr>
          <w:p>
            <w:pPr>
              <w:pStyle w:val="TableParagraph"/>
              <w:tabs>
                <w:tab w:pos="730" w:val="left" w:leader="none"/>
              </w:tabs>
              <w:spacing w:before="24"/>
              <w:ind w:left="14" w:right="-15"/>
              <w:rPr>
                <w:sz w:val="18"/>
              </w:rPr>
            </w:pPr>
            <w:r>
              <w:rPr>
                <w:sz w:val="18"/>
                <w:u w:val="single"/>
              </w:rPr>
              <w:tab/>
            </w:r>
            <w:r>
              <w:rPr>
                <w:spacing w:val="-5"/>
                <w:sz w:val="18"/>
                <w:u w:val="single"/>
              </w:rPr>
              <w:t>25%</w:t>
            </w:r>
            <w:r>
              <w:rPr>
                <w:spacing w:val="40"/>
                <w:sz w:val="18"/>
                <w:u w:val="single"/>
              </w:rPr>
              <w:t> </w:t>
            </w:r>
          </w:p>
        </w:tc>
      </w:tr>
      <w:tr>
        <w:trPr>
          <w:trHeight w:val="276" w:hRule="atLeast"/>
        </w:trPr>
        <w:tc>
          <w:tcPr>
            <w:tcW w:w="1797" w:type="dxa"/>
          </w:tcPr>
          <w:p>
            <w:pPr>
              <w:pStyle w:val="TableParagraph"/>
              <w:rPr>
                <w:sz w:val="20"/>
              </w:rPr>
            </w:pPr>
          </w:p>
        </w:tc>
        <w:tc>
          <w:tcPr>
            <w:tcW w:w="4643" w:type="dxa"/>
          </w:tcPr>
          <w:p>
            <w:pPr>
              <w:pStyle w:val="TableParagraph"/>
              <w:rPr>
                <w:sz w:val="20"/>
              </w:rPr>
            </w:pPr>
          </w:p>
        </w:tc>
        <w:tc>
          <w:tcPr>
            <w:tcW w:w="1167" w:type="dxa"/>
            <w:tcBorders>
              <w:bottom w:val="single" w:sz="8" w:space="0" w:color="000000"/>
            </w:tcBorders>
          </w:tcPr>
          <w:p>
            <w:pPr>
              <w:pStyle w:val="TableParagraph"/>
              <w:tabs>
                <w:tab w:pos="640" w:val="left" w:leader="none"/>
              </w:tabs>
              <w:spacing w:before="30"/>
              <w:ind w:right="-15"/>
              <w:rPr>
                <w:sz w:val="18"/>
              </w:rPr>
            </w:pPr>
            <w:r>
              <w:rPr>
                <w:sz w:val="18"/>
                <w:u w:val="single"/>
              </w:rPr>
              <w:tab/>
            </w:r>
            <w:r>
              <w:rPr>
                <w:spacing w:val="-4"/>
                <w:sz w:val="18"/>
                <w:u w:val="single"/>
              </w:rPr>
              <w:t>100%</w:t>
            </w:r>
            <w:r>
              <w:rPr>
                <w:spacing w:val="40"/>
                <w:sz w:val="18"/>
                <w:u w:val="single"/>
              </w:rPr>
              <w:t> </w:t>
            </w:r>
          </w:p>
        </w:tc>
      </w:tr>
    </w:tbl>
    <w:p>
      <w:pPr>
        <w:pStyle w:val="ListParagraph"/>
        <w:numPr>
          <w:ilvl w:val="1"/>
          <w:numId w:val="11"/>
        </w:numPr>
        <w:tabs>
          <w:tab w:pos="1417" w:val="left" w:leader="none"/>
        </w:tabs>
        <w:spacing w:line="240" w:lineRule="auto" w:before="0" w:after="0"/>
        <w:ind w:left="1417" w:right="0" w:hanging="347"/>
        <w:jc w:val="left"/>
        <w:rPr>
          <w:sz w:val="22"/>
        </w:rPr>
      </w:pPr>
      <w:r>
        <w:rPr>
          <w:spacing w:val="-4"/>
          <w:sz w:val="22"/>
        </w:rPr>
        <w:t>Reserva</w:t>
      </w:r>
      <w:r>
        <w:rPr>
          <w:spacing w:val="-3"/>
          <w:sz w:val="22"/>
        </w:rPr>
        <w:t> </w:t>
      </w:r>
      <w:r>
        <w:rPr>
          <w:spacing w:val="-2"/>
          <w:sz w:val="22"/>
        </w:rPr>
        <w:t>legal</w:t>
      </w:r>
    </w:p>
    <w:p>
      <w:pPr>
        <w:pStyle w:val="BodyText"/>
        <w:spacing w:before="7"/>
      </w:pPr>
    </w:p>
    <w:p>
      <w:pPr>
        <w:pStyle w:val="BodyText"/>
        <w:spacing w:line="247" w:lineRule="auto"/>
        <w:ind w:left="1418" w:right="839"/>
        <w:jc w:val="both"/>
      </w:pPr>
      <w:r>
        <w:rPr/>
        <w:t>De</w:t>
      </w:r>
      <w:r>
        <w:rPr>
          <w:spacing w:val="-7"/>
        </w:rPr>
        <w:t> </w:t>
      </w:r>
      <w:r>
        <w:rPr/>
        <w:t>acuerdo</w:t>
      </w:r>
      <w:r>
        <w:rPr>
          <w:spacing w:val="-6"/>
        </w:rPr>
        <w:t> </w:t>
      </w:r>
      <w:r>
        <w:rPr/>
        <w:t>con</w:t>
      </w:r>
      <w:r>
        <w:rPr>
          <w:spacing w:val="-6"/>
        </w:rPr>
        <w:t> </w:t>
      </w:r>
      <w:r>
        <w:rPr/>
        <w:t>el</w:t>
      </w:r>
      <w:r>
        <w:rPr>
          <w:spacing w:val="-7"/>
        </w:rPr>
        <w:t> </w:t>
      </w:r>
      <w:r>
        <w:rPr/>
        <w:t>Texto</w:t>
      </w:r>
      <w:r>
        <w:rPr>
          <w:spacing w:val="-6"/>
        </w:rPr>
        <w:t> </w:t>
      </w:r>
      <w:r>
        <w:rPr/>
        <w:t>Refundido</w:t>
      </w:r>
      <w:r>
        <w:rPr>
          <w:spacing w:val="-6"/>
        </w:rPr>
        <w:t> </w:t>
      </w:r>
      <w:r>
        <w:rPr/>
        <w:t>de</w:t>
      </w:r>
      <w:r>
        <w:rPr>
          <w:spacing w:val="-7"/>
        </w:rPr>
        <w:t> </w:t>
      </w:r>
      <w:r>
        <w:rPr/>
        <w:t>la</w:t>
      </w:r>
      <w:r>
        <w:rPr>
          <w:spacing w:val="-7"/>
        </w:rPr>
        <w:t> </w:t>
      </w:r>
      <w:r>
        <w:rPr/>
        <w:t>Ley</w:t>
      </w:r>
      <w:r>
        <w:rPr>
          <w:spacing w:val="-6"/>
        </w:rPr>
        <w:t> </w:t>
      </w:r>
      <w:r>
        <w:rPr/>
        <w:t>de</w:t>
      </w:r>
      <w:r>
        <w:rPr>
          <w:spacing w:val="-7"/>
        </w:rPr>
        <w:t> </w:t>
      </w:r>
      <w:r>
        <w:rPr/>
        <w:t>Sociedades</w:t>
      </w:r>
      <w:r>
        <w:rPr>
          <w:spacing w:val="-6"/>
        </w:rPr>
        <w:t> </w:t>
      </w:r>
      <w:r>
        <w:rPr/>
        <w:t>de</w:t>
      </w:r>
      <w:r>
        <w:rPr>
          <w:spacing w:val="-7"/>
        </w:rPr>
        <w:t> </w:t>
      </w:r>
      <w:r>
        <w:rPr/>
        <w:t>Capital,</w:t>
      </w:r>
      <w:r>
        <w:rPr>
          <w:spacing w:val="-6"/>
        </w:rPr>
        <w:t> </w:t>
      </w:r>
      <w:r>
        <w:rPr/>
        <w:t>debe</w:t>
      </w:r>
      <w:r>
        <w:rPr>
          <w:spacing w:val="-7"/>
        </w:rPr>
        <w:t> </w:t>
      </w:r>
      <w:r>
        <w:rPr/>
        <w:t>destinarse</w:t>
      </w:r>
      <w:r>
        <w:rPr>
          <w:spacing w:val="-7"/>
        </w:rPr>
        <w:t> </w:t>
      </w:r>
      <w:r>
        <w:rPr/>
        <w:t>una</w:t>
      </w:r>
      <w:r>
        <w:rPr>
          <w:spacing w:val="-7"/>
        </w:rPr>
        <w:t> </w:t>
      </w:r>
      <w:r>
        <w:rPr/>
        <w:t>cifra igual</w:t>
      </w:r>
      <w:r>
        <w:rPr>
          <w:spacing w:val="-6"/>
        </w:rPr>
        <w:t> </w:t>
      </w:r>
      <w:r>
        <w:rPr/>
        <w:t>al</w:t>
      </w:r>
      <w:r>
        <w:rPr>
          <w:spacing w:val="-7"/>
        </w:rPr>
        <w:t> </w:t>
      </w:r>
      <w:r>
        <w:rPr/>
        <w:t>10%</w:t>
      </w:r>
      <w:r>
        <w:rPr>
          <w:spacing w:val="-9"/>
        </w:rPr>
        <w:t> </w:t>
      </w:r>
      <w:r>
        <w:rPr/>
        <w:t>del</w:t>
      </w:r>
      <w:r>
        <w:rPr>
          <w:spacing w:val="-6"/>
        </w:rPr>
        <w:t> </w:t>
      </w:r>
      <w:r>
        <w:rPr/>
        <w:t>beneficio</w:t>
      </w:r>
      <w:r>
        <w:rPr>
          <w:spacing w:val="-8"/>
        </w:rPr>
        <w:t> </w:t>
      </w:r>
      <w:r>
        <w:rPr/>
        <w:t>del</w:t>
      </w:r>
      <w:r>
        <w:rPr>
          <w:spacing w:val="-6"/>
        </w:rPr>
        <w:t> </w:t>
      </w:r>
      <w:r>
        <w:rPr/>
        <w:t>ejercicio</w:t>
      </w:r>
      <w:r>
        <w:rPr>
          <w:spacing w:val="-8"/>
        </w:rPr>
        <w:t> </w:t>
      </w:r>
      <w:r>
        <w:rPr/>
        <w:t>a</w:t>
      </w:r>
      <w:r>
        <w:rPr>
          <w:spacing w:val="-7"/>
        </w:rPr>
        <w:t> </w:t>
      </w:r>
      <w:r>
        <w:rPr/>
        <w:t>la</w:t>
      </w:r>
      <w:r>
        <w:rPr>
          <w:spacing w:val="-8"/>
        </w:rPr>
        <w:t> </w:t>
      </w:r>
      <w:r>
        <w:rPr/>
        <w:t>reserva</w:t>
      </w:r>
      <w:r>
        <w:rPr>
          <w:spacing w:val="-8"/>
        </w:rPr>
        <w:t> </w:t>
      </w:r>
      <w:r>
        <w:rPr/>
        <w:t>legal</w:t>
      </w:r>
      <w:r>
        <w:rPr>
          <w:spacing w:val="-6"/>
        </w:rPr>
        <w:t> </w:t>
      </w:r>
      <w:r>
        <w:rPr/>
        <w:t>hasta</w:t>
      </w:r>
      <w:r>
        <w:rPr>
          <w:spacing w:val="-8"/>
        </w:rPr>
        <w:t> </w:t>
      </w:r>
      <w:r>
        <w:rPr/>
        <w:t>que</w:t>
      </w:r>
      <w:r>
        <w:rPr>
          <w:spacing w:val="-8"/>
        </w:rPr>
        <w:t> </w:t>
      </w:r>
      <w:r>
        <w:rPr/>
        <w:t>ésta</w:t>
      </w:r>
      <w:r>
        <w:rPr>
          <w:spacing w:val="-8"/>
        </w:rPr>
        <w:t> </w:t>
      </w:r>
      <w:r>
        <w:rPr/>
        <w:t>alcance,</w:t>
      </w:r>
      <w:r>
        <w:rPr>
          <w:spacing w:val="-8"/>
        </w:rPr>
        <w:t> </w:t>
      </w:r>
      <w:r>
        <w:rPr/>
        <w:t>al</w:t>
      </w:r>
      <w:r>
        <w:rPr>
          <w:spacing w:val="-8"/>
        </w:rPr>
        <w:t> </w:t>
      </w:r>
      <w:r>
        <w:rPr/>
        <w:t>menos,</w:t>
      </w:r>
      <w:r>
        <w:rPr>
          <w:spacing w:val="-8"/>
        </w:rPr>
        <w:t> </w:t>
      </w:r>
      <w:r>
        <w:rPr/>
        <w:t>el</w:t>
      </w:r>
      <w:r>
        <w:rPr>
          <w:spacing w:val="-7"/>
        </w:rPr>
        <w:t> </w:t>
      </w:r>
      <w:r>
        <w:rPr/>
        <w:t>20% del</w:t>
      </w:r>
      <w:r>
        <w:rPr>
          <w:spacing w:val="-14"/>
        </w:rPr>
        <w:t> </w:t>
      </w:r>
      <w:r>
        <w:rPr/>
        <w:t>capital</w:t>
      </w:r>
      <w:r>
        <w:rPr>
          <w:spacing w:val="-12"/>
        </w:rPr>
        <w:t> </w:t>
      </w:r>
      <w:r>
        <w:rPr/>
        <w:t>social.</w:t>
      </w:r>
      <w:r>
        <w:rPr>
          <w:spacing w:val="-14"/>
        </w:rPr>
        <w:t> </w:t>
      </w:r>
      <w:r>
        <w:rPr/>
        <w:t>La</w:t>
      </w:r>
      <w:r>
        <w:rPr>
          <w:spacing w:val="-13"/>
        </w:rPr>
        <w:t> </w:t>
      </w:r>
      <w:r>
        <w:rPr/>
        <w:t>reserva</w:t>
      </w:r>
      <w:r>
        <w:rPr>
          <w:spacing w:val="-13"/>
        </w:rPr>
        <w:t> </w:t>
      </w:r>
      <w:r>
        <w:rPr/>
        <w:t>legal</w:t>
      </w:r>
      <w:r>
        <w:rPr>
          <w:spacing w:val="-12"/>
        </w:rPr>
        <w:t> </w:t>
      </w:r>
      <w:r>
        <w:rPr/>
        <w:t>podrá</w:t>
      </w:r>
      <w:r>
        <w:rPr>
          <w:spacing w:val="-13"/>
        </w:rPr>
        <w:t> </w:t>
      </w:r>
      <w:r>
        <w:rPr/>
        <w:t>utilizarse</w:t>
      </w:r>
      <w:r>
        <w:rPr>
          <w:spacing w:val="-13"/>
        </w:rPr>
        <w:t> </w:t>
      </w:r>
      <w:r>
        <w:rPr/>
        <w:t>para</w:t>
      </w:r>
      <w:r>
        <w:rPr>
          <w:spacing w:val="-14"/>
        </w:rPr>
        <w:t> </w:t>
      </w:r>
      <w:r>
        <w:rPr/>
        <w:t>aumentar</w:t>
      </w:r>
      <w:r>
        <w:rPr>
          <w:spacing w:val="-13"/>
        </w:rPr>
        <w:t> </w:t>
      </w:r>
      <w:r>
        <w:rPr/>
        <w:t>el</w:t>
      </w:r>
      <w:r>
        <w:rPr>
          <w:spacing w:val="-12"/>
        </w:rPr>
        <w:t> </w:t>
      </w:r>
      <w:r>
        <w:rPr/>
        <w:t>capital.</w:t>
      </w:r>
      <w:r>
        <w:rPr>
          <w:spacing w:val="-13"/>
        </w:rPr>
        <w:t> </w:t>
      </w:r>
      <w:r>
        <w:rPr/>
        <w:t>Salvo</w:t>
      </w:r>
      <w:r>
        <w:rPr>
          <w:spacing w:val="-12"/>
        </w:rPr>
        <w:t> </w:t>
      </w:r>
      <w:r>
        <w:rPr/>
        <w:t>para</w:t>
      </w:r>
      <w:r>
        <w:rPr>
          <w:spacing w:val="-13"/>
        </w:rPr>
        <w:t> </w:t>
      </w:r>
      <w:r>
        <w:rPr/>
        <w:t>la</w:t>
      </w:r>
      <w:r>
        <w:rPr>
          <w:spacing w:val="-13"/>
        </w:rPr>
        <w:t> </w:t>
      </w:r>
      <w:r>
        <w:rPr/>
        <w:t>finalidad mencionada</w:t>
      </w:r>
      <w:r>
        <w:rPr>
          <w:spacing w:val="-10"/>
        </w:rPr>
        <w:t> </w:t>
      </w:r>
      <w:r>
        <w:rPr/>
        <w:t>anteriormente,</w:t>
      </w:r>
      <w:r>
        <w:rPr>
          <w:spacing w:val="-11"/>
        </w:rPr>
        <w:t> </w:t>
      </w:r>
      <w:r>
        <w:rPr/>
        <w:t>y</w:t>
      </w:r>
      <w:r>
        <w:rPr>
          <w:spacing w:val="-9"/>
        </w:rPr>
        <w:t> </w:t>
      </w:r>
      <w:r>
        <w:rPr/>
        <w:t>mientras</w:t>
      </w:r>
      <w:r>
        <w:rPr>
          <w:spacing w:val="-9"/>
        </w:rPr>
        <w:t> </w:t>
      </w:r>
      <w:r>
        <w:rPr/>
        <w:t>no</w:t>
      </w:r>
      <w:r>
        <w:rPr>
          <w:spacing w:val="-9"/>
        </w:rPr>
        <w:t> </w:t>
      </w:r>
      <w:r>
        <w:rPr/>
        <w:t>supere</w:t>
      </w:r>
      <w:r>
        <w:rPr>
          <w:spacing w:val="-10"/>
        </w:rPr>
        <w:t> </w:t>
      </w:r>
      <w:r>
        <w:rPr/>
        <w:t>el</w:t>
      </w:r>
      <w:r>
        <w:rPr>
          <w:spacing w:val="-8"/>
        </w:rPr>
        <w:t> </w:t>
      </w:r>
      <w:r>
        <w:rPr/>
        <w:t>20%</w:t>
      </w:r>
      <w:r>
        <w:rPr>
          <w:spacing w:val="-9"/>
        </w:rPr>
        <w:t> </w:t>
      </w:r>
      <w:r>
        <w:rPr/>
        <w:t>del</w:t>
      </w:r>
      <w:r>
        <w:rPr>
          <w:spacing w:val="-8"/>
        </w:rPr>
        <w:t> </w:t>
      </w:r>
      <w:r>
        <w:rPr/>
        <w:t>capital</w:t>
      </w:r>
      <w:r>
        <w:rPr>
          <w:spacing w:val="-9"/>
        </w:rPr>
        <w:t> </w:t>
      </w:r>
      <w:r>
        <w:rPr/>
        <w:t>social,</w:t>
      </w:r>
      <w:r>
        <w:rPr>
          <w:spacing w:val="-8"/>
        </w:rPr>
        <w:t> </w:t>
      </w:r>
      <w:r>
        <w:rPr/>
        <w:t>esta</w:t>
      </w:r>
      <w:r>
        <w:rPr>
          <w:spacing w:val="-11"/>
        </w:rPr>
        <w:t> </w:t>
      </w:r>
      <w:r>
        <w:rPr/>
        <w:t>reserva</w:t>
      </w:r>
      <w:r>
        <w:rPr>
          <w:spacing w:val="-10"/>
        </w:rPr>
        <w:t> </w:t>
      </w:r>
      <w:r>
        <w:rPr/>
        <w:t>sólo</w:t>
      </w:r>
      <w:r>
        <w:rPr>
          <w:spacing w:val="-8"/>
        </w:rPr>
        <w:t> </w:t>
      </w:r>
      <w:r>
        <w:rPr/>
        <w:t>podrá destinarse a la compensación de pérdidas y siempre que no existan otras reservas disponibles suficientes.</w:t>
      </w:r>
      <w:r>
        <w:rPr>
          <w:spacing w:val="-6"/>
        </w:rPr>
        <w:t> </w:t>
      </w:r>
      <w:r>
        <w:rPr/>
        <w:t>Al</w:t>
      </w:r>
      <w:r>
        <w:rPr>
          <w:spacing w:val="-12"/>
        </w:rPr>
        <w:t> </w:t>
      </w:r>
      <w:r>
        <w:rPr/>
        <w:t>cierre</w:t>
      </w:r>
      <w:r>
        <w:rPr>
          <w:spacing w:val="-11"/>
        </w:rPr>
        <w:t> </w:t>
      </w:r>
      <w:r>
        <w:rPr/>
        <w:t>del</w:t>
      </w:r>
      <w:r>
        <w:rPr>
          <w:spacing w:val="-12"/>
        </w:rPr>
        <w:t> </w:t>
      </w:r>
      <w:r>
        <w:rPr/>
        <w:t>ejercicio</w:t>
      </w:r>
      <w:r>
        <w:rPr>
          <w:spacing w:val="-9"/>
        </w:rPr>
        <w:t> </w:t>
      </w:r>
      <w:r>
        <w:rPr/>
        <w:t>2025</w:t>
      </w:r>
      <w:r>
        <w:rPr>
          <w:spacing w:val="-10"/>
        </w:rPr>
        <w:t> </w:t>
      </w:r>
      <w:r>
        <w:rPr/>
        <w:t>esta</w:t>
      </w:r>
      <w:r>
        <w:rPr>
          <w:spacing w:val="-11"/>
        </w:rPr>
        <w:t> </w:t>
      </w:r>
      <w:r>
        <w:rPr/>
        <w:t>reserva</w:t>
      </w:r>
      <w:r>
        <w:rPr>
          <w:spacing w:val="-8"/>
        </w:rPr>
        <w:t> </w:t>
      </w:r>
      <w:r>
        <w:rPr/>
        <w:t>no</w:t>
      </w:r>
      <w:r>
        <w:rPr>
          <w:spacing w:val="-10"/>
        </w:rPr>
        <w:t> </w:t>
      </w:r>
      <w:r>
        <w:rPr/>
        <w:t>se</w:t>
      </w:r>
      <w:r>
        <w:rPr>
          <w:spacing w:val="-11"/>
        </w:rPr>
        <w:t> </w:t>
      </w:r>
      <w:r>
        <w:rPr/>
        <w:t>encuentra</w:t>
      </w:r>
      <w:r>
        <w:rPr>
          <w:spacing w:val="-11"/>
        </w:rPr>
        <w:t> </w:t>
      </w:r>
      <w:r>
        <w:rPr/>
        <w:t>totalmente</w:t>
      </w:r>
      <w:r>
        <w:rPr>
          <w:spacing w:val="-6"/>
        </w:rPr>
        <w:t> </w:t>
      </w:r>
      <w:r>
        <w:rPr/>
        <w:t>constituida.</w:t>
      </w:r>
    </w:p>
    <w:p>
      <w:pPr>
        <w:pStyle w:val="BodyText"/>
        <w:spacing w:line="244" w:lineRule="auto" w:before="232"/>
        <w:ind w:left="1418" w:right="845"/>
        <w:jc w:val="both"/>
      </w:pPr>
      <w:r>
        <w:rPr/>
        <w:t>Al cierre de los ejercicios 2025 y 2024, la Sociedad tiene unas reservas legales que ascienden a 119.999,17 euros y 60.867,17 euros, respectivamente.</w:t>
      </w:r>
    </w:p>
    <w:p>
      <w:pPr>
        <w:pStyle w:val="ListParagraph"/>
        <w:numPr>
          <w:ilvl w:val="1"/>
          <w:numId w:val="11"/>
        </w:numPr>
        <w:tabs>
          <w:tab w:pos="1417" w:val="left" w:leader="none"/>
        </w:tabs>
        <w:spacing w:line="240" w:lineRule="auto" w:before="244" w:after="0"/>
        <w:ind w:left="1417" w:right="0" w:hanging="347"/>
        <w:jc w:val="left"/>
        <w:rPr>
          <w:sz w:val="22"/>
        </w:rPr>
      </w:pPr>
      <w:r>
        <w:rPr>
          <w:spacing w:val="-4"/>
          <w:sz w:val="22"/>
        </w:rPr>
        <w:t>Reserva</w:t>
      </w:r>
      <w:r>
        <w:rPr>
          <w:spacing w:val="-3"/>
          <w:sz w:val="22"/>
        </w:rPr>
        <w:t> </w:t>
      </w:r>
      <w:r>
        <w:rPr>
          <w:spacing w:val="-2"/>
          <w:sz w:val="22"/>
        </w:rPr>
        <w:t>capitalización</w:t>
      </w:r>
    </w:p>
    <w:p>
      <w:pPr>
        <w:pStyle w:val="BodyText"/>
        <w:spacing w:before="12"/>
      </w:pPr>
    </w:p>
    <w:p>
      <w:pPr>
        <w:pStyle w:val="BodyText"/>
        <w:spacing w:line="247" w:lineRule="auto"/>
        <w:ind w:left="1418" w:right="841"/>
        <w:jc w:val="both"/>
      </w:pPr>
      <w:r>
        <w:rPr/>
        <w:t>De acuerdo con el artículo 25 de la Ley 27/2014 de noviembre del Impuesto sobre Sociedades (modificado</w:t>
      </w:r>
      <w:r>
        <w:rPr>
          <w:spacing w:val="-2"/>
        </w:rPr>
        <w:t> </w:t>
      </w:r>
      <w:r>
        <w:rPr/>
        <w:t>por</w:t>
      </w:r>
      <w:r>
        <w:rPr>
          <w:spacing w:val="-2"/>
        </w:rPr>
        <w:t> </w:t>
      </w:r>
      <w:r>
        <w:rPr/>
        <w:t>el</w:t>
      </w:r>
      <w:r>
        <w:rPr>
          <w:spacing w:val="-3"/>
        </w:rPr>
        <w:t> </w:t>
      </w:r>
      <w:r>
        <w:rPr/>
        <w:t>Real</w:t>
      </w:r>
      <w:r>
        <w:rPr>
          <w:spacing w:val="-3"/>
        </w:rPr>
        <w:t> </w:t>
      </w:r>
      <w:r>
        <w:rPr/>
        <w:t>Decreto-ley</w:t>
      </w:r>
      <w:r>
        <w:rPr>
          <w:spacing w:val="-2"/>
        </w:rPr>
        <w:t> </w:t>
      </w:r>
      <w:r>
        <w:rPr/>
        <w:t>4/2024,</w:t>
      </w:r>
      <w:r>
        <w:rPr>
          <w:spacing w:val="-3"/>
        </w:rPr>
        <w:t> </w:t>
      </w:r>
      <w:r>
        <w:rPr/>
        <w:t>de</w:t>
      </w:r>
      <w:r>
        <w:rPr>
          <w:spacing w:val="-3"/>
        </w:rPr>
        <w:t> </w:t>
      </w:r>
      <w:r>
        <w:rPr/>
        <w:t>26</w:t>
      </w:r>
      <w:r>
        <w:rPr>
          <w:spacing w:val="-3"/>
        </w:rPr>
        <w:t> </w:t>
      </w:r>
      <w:r>
        <w:rPr/>
        <w:t>de</w:t>
      </w:r>
      <w:r>
        <w:rPr>
          <w:spacing w:val="-3"/>
        </w:rPr>
        <w:t> </w:t>
      </w:r>
      <w:r>
        <w:rPr/>
        <w:t>junio,</w:t>
      </w:r>
      <w:r>
        <w:rPr>
          <w:spacing w:val="-3"/>
        </w:rPr>
        <w:t> </w:t>
      </w:r>
      <w:r>
        <w:rPr/>
        <w:t>y</w:t>
      </w:r>
      <w:r>
        <w:rPr>
          <w:spacing w:val="-2"/>
        </w:rPr>
        <w:t> </w:t>
      </w:r>
      <w:r>
        <w:rPr/>
        <w:t>la</w:t>
      </w:r>
      <w:r>
        <w:rPr>
          <w:spacing w:val="-3"/>
        </w:rPr>
        <w:t> </w:t>
      </w:r>
      <w:r>
        <w:rPr/>
        <w:t>Ley</w:t>
      </w:r>
      <w:r>
        <w:rPr>
          <w:spacing w:val="-2"/>
        </w:rPr>
        <w:t> </w:t>
      </w:r>
      <w:r>
        <w:rPr/>
        <w:t>7/2024), según</w:t>
      </w:r>
      <w:r>
        <w:rPr>
          <w:spacing w:val="-2"/>
        </w:rPr>
        <w:t> </w:t>
      </w:r>
      <w:r>
        <w:rPr/>
        <w:t>la</w:t>
      </w:r>
      <w:r>
        <w:rPr>
          <w:spacing w:val="-3"/>
        </w:rPr>
        <w:t> </w:t>
      </w:r>
      <w:r>
        <w:rPr/>
        <w:t>cual</w:t>
      </w:r>
      <w:r>
        <w:rPr>
          <w:spacing w:val="-3"/>
        </w:rPr>
        <w:t> </w:t>
      </w:r>
      <w:r>
        <w:rPr/>
        <w:t>debe dotarse</w:t>
      </w:r>
      <w:r>
        <w:rPr>
          <w:spacing w:val="-6"/>
        </w:rPr>
        <w:t> </w:t>
      </w:r>
      <w:r>
        <w:rPr/>
        <w:t>una</w:t>
      </w:r>
      <w:r>
        <w:rPr>
          <w:spacing w:val="-6"/>
        </w:rPr>
        <w:t> </w:t>
      </w:r>
      <w:r>
        <w:rPr/>
        <w:t>reserva</w:t>
      </w:r>
      <w:r>
        <w:rPr>
          <w:spacing w:val="-6"/>
        </w:rPr>
        <w:t> </w:t>
      </w:r>
      <w:r>
        <w:rPr/>
        <w:t>indisponible</w:t>
      </w:r>
      <w:r>
        <w:rPr>
          <w:spacing w:val="-6"/>
        </w:rPr>
        <w:t> </w:t>
      </w:r>
      <w:r>
        <w:rPr/>
        <w:t>durante</w:t>
      </w:r>
      <w:r>
        <w:rPr>
          <w:spacing w:val="-6"/>
        </w:rPr>
        <w:t> </w:t>
      </w:r>
      <w:r>
        <w:rPr/>
        <w:t>el</w:t>
      </w:r>
      <w:r>
        <w:rPr>
          <w:spacing w:val="-6"/>
        </w:rPr>
        <w:t> </w:t>
      </w:r>
      <w:r>
        <w:rPr/>
        <w:t>periodo</w:t>
      </w:r>
      <w:r>
        <w:rPr>
          <w:spacing w:val="-5"/>
        </w:rPr>
        <w:t> </w:t>
      </w:r>
      <w:r>
        <w:rPr/>
        <w:t>de</w:t>
      </w:r>
      <w:r>
        <w:rPr>
          <w:spacing w:val="-4"/>
        </w:rPr>
        <w:t> </w:t>
      </w:r>
      <w:r>
        <w:rPr/>
        <w:t>tres</w:t>
      </w:r>
      <w:r>
        <w:rPr>
          <w:spacing w:val="-6"/>
        </w:rPr>
        <w:t> </w:t>
      </w:r>
      <w:r>
        <w:rPr/>
        <w:t>años</w:t>
      </w:r>
      <w:r>
        <w:rPr>
          <w:spacing w:val="-5"/>
        </w:rPr>
        <w:t> </w:t>
      </w:r>
      <w:r>
        <w:rPr/>
        <w:t>por</w:t>
      </w:r>
      <w:r>
        <w:rPr>
          <w:spacing w:val="-6"/>
        </w:rPr>
        <w:t> </w:t>
      </w:r>
      <w:r>
        <w:rPr/>
        <w:t>el</w:t>
      </w:r>
      <w:r>
        <w:rPr>
          <w:spacing w:val="-6"/>
        </w:rPr>
        <w:t> </w:t>
      </w:r>
      <w:r>
        <w:rPr/>
        <w:t>importe</w:t>
      </w:r>
      <w:r>
        <w:rPr>
          <w:spacing w:val="-6"/>
        </w:rPr>
        <w:t> </w:t>
      </w:r>
      <w:r>
        <w:rPr/>
        <w:t>de</w:t>
      </w:r>
      <w:r>
        <w:rPr>
          <w:spacing w:val="-5"/>
        </w:rPr>
        <w:t> </w:t>
      </w:r>
      <w:r>
        <w:rPr/>
        <w:t>la</w:t>
      </w:r>
      <w:r>
        <w:rPr>
          <w:spacing w:val="-6"/>
        </w:rPr>
        <w:t> </w:t>
      </w:r>
      <w:r>
        <w:rPr/>
        <w:t>reducción</w:t>
      </w:r>
      <w:r>
        <w:rPr>
          <w:spacing w:val="-5"/>
        </w:rPr>
        <w:t> </w:t>
      </w:r>
      <w:r>
        <w:rPr/>
        <w:t>en la</w:t>
      </w:r>
      <w:r>
        <w:rPr>
          <w:spacing w:val="-8"/>
        </w:rPr>
        <w:t> </w:t>
      </w:r>
      <w:r>
        <w:rPr/>
        <w:t>base</w:t>
      </w:r>
      <w:r>
        <w:rPr>
          <w:spacing w:val="-8"/>
        </w:rPr>
        <w:t> </w:t>
      </w:r>
      <w:r>
        <w:rPr/>
        <w:t>imponible</w:t>
      </w:r>
      <w:r>
        <w:rPr>
          <w:spacing w:val="-8"/>
        </w:rPr>
        <w:t> </w:t>
      </w:r>
      <w:r>
        <w:rPr/>
        <w:t>del</w:t>
      </w:r>
      <w:r>
        <w:rPr>
          <w:spacing w:val="-8"/>
        </w:rPr>
        <w:t> </w:t>
      </w:r>
      <w:r>
        <w:rPr/>
        <w:t>impuesto</w:t>
      </w:r>
      <w:r>
        <w:rPr>
          <w:spacing w:val="-8"/>
        </w:rPr>
        <w:t> </w:t>
      </w:r>
      <w:r>
        <w:rPr/>
        <w:t>de</w:t>
      </w:r>
      <w:r>
        <w:rPr>
          <w:spacing w:val="-8"/>
        </w:rPr>
        <w:t> </w:t>
      </w:r>
      <w:r>
        <w:rPr/>
        <w:t>Sociedades</w:t>
      </w:r>
      <w:r>
        <w:rPr>
          <w:spacing w:val="-9"/>
        </w:rPr>
        <w:t> </w:t>
      </w:r>
      <w:r>
        <w:rPr/>
        <w:t>aplicado</w:t>
      </w:r>
      <w:r>
        <w:rPr>
          <w:spacing w:val="-8"/>
        </w:rPr>
        <w:t> </w:t>
      </w:r>
      <w:r>
        <w:rPr/>
        <w:t>en</w:t>
      </w:r>
      <w:r>
        <w:rPr>
          <w:spacing w:val="-8"/>
        </w:rPr>
        <w:t> </w:t>
      </w:r>
      <w:r>
        <w:rPr/>
        <w:t>concepto</w:t>
      </w:r>
      <w:r>
        <w:rPr>
          <w:spacing w:val="-9"/>
        </w:rPr>
        <w:t> </w:t>
      </w:r>
      <w:r>
        <w:rPr/>
        <w:t>de</w:t>
      </w:r>
      <w:r>
        <w:rPr>
          <w:spacing w:val="-8"/>
        </w:rPr>
        <w:t> </w:t>
      </w:r>
      <w:r>
        <w:rPr/>
        <w:t>Reserva</w:t>
      </w:r>
      <w:r>
        <w:rPr>
          <w:spacing w:val="-8"/>
        </w:rPr>
        <w:t> </w:t>
      </w:r>
      <w:r>
        <w:rPr/>
        <w:t>de</w:t>
      </w:r>
      <w:r>
        <w:rPr>
          <w:spacing w:val="-8"/>
        </w:rPr>
        <w:t> </w:t>
      </w:r>
      <w:r>
        <w:rPr/>
        <w:t>capitalización. Esta reserva, que figura con absoluta separación en el epígrafe III.1 del Patrimonio Neto sin haberse aplicado cantidad alguna.</w:t>
      </w:r>
    </w:p>
    <w:p>
      <w:pPr>
        <w:pStyle w:val="BodyText"/>
        <w:spacing w:before="7"/>
      </w:pPr>
    </w:p>
    <w:p>
      <w:pPr>
        <w:pStyle w:val="BodyText"/>
        <w:ind w:left="1418"/>
        <w:jc w:val="both"/>
      </w:pPr>
      <w:r>
        <w:rPr>
          <w:spacing w:val="-6"/>
        </w:rPr>
        <w:t>El</w:t>
      </w:r>
      <w:r>
        <w:rPr>
          <w:spacing w:val="-3"/>
        </w:rPr>
        <w:t> </w:t>
      </w:r>
      <w:r>
        <w:rPr>
          <w:spacing w:val="-6"/>
        </w:rPr>
        <w:t>importe</w:t>
      </w:r>
      <w:r>
        <w:rPr>
          <w:spacing w:val="-7"/>
        </w:rPr>
        <w:t> </w:t>
      </w:r>
      <w:r>
        <w:rPr>
          <w:spacing w:val="-6"/>
        </w:rPr>
        <w:t>de</w:t>
      </w:r>
      <w:r>
        <w:rPr>
          <w:spacing w:val="-8"/>
        </w:rPr>
        <w:t> </w:t>
      </w:r>
      <w:r>
        <w:rPr>
          <w:spacing w:val="-6"/>
        </w:rPr>
        <w:t>la reserva de capitalización</w:t>
      </w:r>
      <w:r>
        <w:rPr>
          <w:spacing w:val="-5"/>
        </w:rPr>
        <w:t> </w:t>
      </w:r>
      <w:r>
        <w:rPr>
          <w:spacing w:val="-6"/>
        </w:rPr>
        <w:t>es el siguiente:</w:t>
      </w:r>
    </w:p>
    <w:p>
      <w:pPr>
        <w:pStyle w:val="BodyText"/>
        <w:spacing w:before="15"/>
        <w:rPr>
          <w:sz w:val="20"/>
        </w:rPr>
      </w:pPr>
    </w:p>
    <w:tbl>
      <w:tblPr>
        <w:tblW w:w="0" w:type="auto"/>
        <w:jc w:val="left"/>
        <w:tblInd w:w="2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94"/>
        <w:gridCol w:w="85"/>
        <w:gridCol w:w="1223"/>
      </w:tblGrid>
      <w:tr>
        <w:trPr>
          <w:trHeight w:val="217" w:hRule="atLeast"/>
        </w:trPr>
        <w:tc>
          <w:tcPr>
            <w:tcW w:w="2694" w:type="dxa"/>
            <w:tcBorders>
              <w:bottom w:val="single" w:sz="8" w:space="0" w:color="000000"/>
            </w:tcBorders>
          </w:tcPr>
          <w:p>
            <w:pPr>
              <w:pStyle w:val="TableParagraph"/>
              <w:spacing w:line="198" w:lineRule="exact"/>
              <w:ind w:left="5" w:right="6"/>
              <w:jc w:val="center"/>
              <w:rPr>
                <w:b/>
                <w:sz w:val="18"/>
              </w:rPr>
            </w:pPr>
            <w:r>
              <w:rPr>
                <w:b/>
                <w:spacing w:val="-5"/>
                <w:sz w:val="18"/>
              </w:rPr>
              <w:t>Año</w:t>
            </w:r>
          </w:p>
        </w:tc>
        <w:tc>
          <w:tcPr>
            <w:tcW w:w="85" w:type="dxa"/>
          </w:tcPr>
          <w:p>
            <w:pPr>
              <w:pStyle w:val="TableParagraph"/>
              <w:rPr>
                <w:sz w:val="14"/>
              </w:rPr>
            </w:pPr>
          </w:p>
        </w:tc>
        <w:tc>
          <w:tcPr>
            <w:tcW w:w="1223" w:type="dxa"/>
            <w:tcBorders>
              <w:bottom w:val="single" w:sz="8" w:space="0" w:color="000000"/>
            </w:tcBorders>
          </w:tcPr>
          <w:p>
            <w:pPr>
              <w:pStyle w:val="TableParagraph"/>
              <w:spacing w:line="198" w:lineRule="exact"/>
              <w:ind w:left="310"/>
              <w:rPr>
                <w:b/>
                <w:sz w:val="18"/>
              </w:rPr>
            </w:pPr>
            <w:r>
              <w:rPr>
                <w:b/>
                <w:spacing w:val="-2"/>
                <w:sz w:val="18"/>
              </w:rPr>
              <w:t>Importe</w:t>
            </w:r>
          </w:p>
        </w:tc>
      </w:tr>
      <w:tr>
        <w:trPr>
          <w:trHeight w:val="291" w:hRule="atLeast"/>
        </w:trPr>
        <w:tc>
          <w:tcPr>
            <w:tcW w:w="2694" w:type="dxa"/>
            <w:tcBorders>
              <w:top w:val="single" w:sz="8" w:space="0" w:color="000000"/>
            </w:tcBorders>
          </w:tcPr>
          <w:p>
            <w:pPr>
              <w:pStyle w:val="TableParagraph"/>
              <w:spacing w:before="53"/>
              <w:ind w:left="6" w:right="1"/>
              <w:jc w:val="center"/>
              <w:rPr>
                <w:sz w:val="18"/>
              </w:rPr>
            </w:pPr>
            <w:r>
              <w:rPr>
                <w:spacing w:val="-4"/>
                <w:sz w:val="18"/>
              </w:rPr>
              <w:t>Reserva</w:t>
            </w:r>
            <w:r>
              <w:rPr>
                <w:spacing w:val="-10"/>
                <w:sz w:val="18"/>
              </w:rPr>
              <w:t> </w:t>
            </w:r>
            <w:r>
              <w:rPr>
                <w:spacing w:val="-4"/>
                <w:sz w:val="18"/>
              </w:rPr>
              <w:t>de</w:t>
            </w:r>
            <w:r>
              <w:rPr>
                <w:spacing w:val="-8"/>
                <w:sz w:val="18"/>
              </w:rPr>
              <w:t> </w:t>
            </w:r>
            <w:r>
              <w:rPr>
                <w:spacing w:val="-4"/>
                <w:sz w:val="18"/>
              </w:rPr>
              <w:t>capitalización</w:t>
            </w:r>
            <w:r>
              <w:rPr>
                <w:spacing w:val="-7"/>
                <w:sz w:val="18"/>
              </w:rPr>
              <w:t> </w:t>
            </w:r>
            <w:r>
              <w:rPr>
                <w:spacing w:val="-4"/>
                <w:sz w:val="18"/>
              </w:rPr>
              <w:t>IS</w:t>
            </w:r>
            <w:r>
              <w:rPr>
                <w:spacing w:val="35"/>
                <w:sz w:val="18"/>
              </w:rPr>
              <w:t> </w:t>
            </w:r>
            <w:r>
              <w:rPr>
                <w:spacing w:val="-4"/>
                <w:sz w:val="18"/>
              </w:rPr>
              <w:t>2024</w:t>
            </w:r>
          </w:p>
        </w:tc>
        <w:tc>
          <w:tcPr>
            <w:tcW w:w="85" w:type="dxa"/>
          </w:tcPr>
          <w:p>
            <w:pPr>
              <w:pStyle w:val="TableParagraph"/>
              <w:rPr>
                <w:sz w:val="20"/>
              </w:rPr>
            </w:pPr>
          </w:p>
        </w:tc>
        <w:tc>
          <w:tcPr>
            <w:tcW w:w="1223" w:type="dxa"/>
            <w:tcBorders>
              <w:top w:val="single" w:sz="8" w:space="0" w:color="000000"/>
            </w:tcBorders>
          </w:tcPr>
          <w:p>
            <w:pPr>
              <w:pStyle w:val="TableParagraph"/>
              <w:spacing w:before="53"/>
              <w:ind w:right="31"/>
              <w:jc w:val="right"/>
              <w:rPr>
                <w:sz w:val="18"/>
              </w:rPr>
            </w:pPr>
            <w:r>
              <w:rPr>
                <w:spacing w:val="-2"/>
                <w:sz w:val="18"/>
              </w:rPr>
              <w:t>76.574,35</w:t>
            </w:r>
          </w:p>
        </w:tc>
      </w:tr>
      <w:tr>
        <w:trPr>
          <w:trHeight w:val="264" w:hRule="atLeast"/>
        </w:trPr>
        <w:tc>
          <w:tcPr>
            <w:tcW w:w="2694" w:type="dxa"/>
          </w:tcPr>
          <w:p>
            <w:pPr>
              <w:pStyle w:val="TableParagraph"/>
              <w:spacing w:before="23"/>
              <w:ind w:left="6" w:right="1"/>
              <w:jc w:val="center"/>
              <w:rPr>
                <w:sz w:val="18"/>
              </w:rPr>
            </w:pPr>
            <w:r>
              <w:rPr>
                <w:spacing w:val="-4"/>
                <w:sz w:val="18"/>
              </w:rPr>
              <w:t>Reserva</w:t>
            </w:r>
            <w:r>
              <w:rPr>
                <w:spacing w:val="-9"/>
                <w:sz w:val="18"/>
              </w:rPr>
              <w:t> </w:t>
            </w:r>
            <w:r>
              <w:rPr>
                <w:spacing w:val="-4"/>
                <w:sz w:val="18"/>
              </w:rPr>
              <w:t>de</w:t>
            </w:r>
            <w:r>
              <w:rPr>
                <w:spacing w:val="-9"/>
                <w:sz w:val="18"/>
              </w:rPr>
              <w:t> </w:t>
            </w:r>
            <w:r>
              <w:rPr>
                <w:spacing w:val="-4"/>
                <w:sz w:val="18"/>
              </w:rPr>
              <w:t>capitalización</w:t>
            </w:r>
            <w:r>
              <w:rPr>
                <w:spacing w:val="-6"/>
                <w:sz w:val="18"/>
              </w:rPr>
              <w:t> </w:t>
            </w:r>
            <w:r>
              <w:rPr>
                <w:spacing w:val="-4"/>
                <w:sz w:val="18"/>
              </w:rPr>
              <w:t>IS</w:t>
            </w:r>
            <w:r>
              <w:rPr>
                <w:spacing w:val="-7"/>
                <w:sz w:val="18"/>
              </w:rPr>
              <w:t> </w:t>
            </w:r>
            <w:r>
              <w:rPr>
                <w:spacing w:val="-4"/>
                <w:sz w:val="18"/>
              </w:rPr>
              <w:t>2015</w:t>
            </w:r>
          </w:p>
        </w:tc>
        <w:tc>
          <w:tcPr>
            <w:tcW w:w="85" w:type="dxa"/>
          </w:tcPr>
          <w:p>
            <w:pPr>
              <w:pStyle w:val="TableParagraph"/>
              <w:rPr>
                <w:sz w:val="18"/>
              </w:rPr>
            </w:pPr>
          </w:p>
        </w:tc>
        <w:tc>
          <w:tcPr>
            <w:tcW w:w="1223" w:type="dxa"/>
          </w:tcPr>
          <w:p>
            <w:pPr>
              <w:pStyle w:val="TableParagraph"/>
              <w:spacing w:before="23"/>
              <w:ind w:right="31"/>
              <w:jc w:val="right"/>
              <w:rPr>
                <w:sz w:val="18"/>
              </w:rPr>
            </w:pPr>
            <w:r>
              <w:rPr>
                <w:spacing w:val="-2"/>
                <w:sz w:val="18"/>
              </w:rPr>
              <w:t>428,70</w:t>
            </w:r>
          </w:p>
        </w:tc>
      </w:tr>
      <w:tr>
        <w:trPr>
          <w:trHeight w:val="273" w:hRule="atLeast"/>
        </w:trPr>
        <w:tc>
          <w:tcPr>
            <w:tcW w:w="2694" w:type="dxa"/>
          </w:tcPr>
          <w:p>
            <w:pPr>
              <w:pStyle w:val="TableParagraph"/>
              <w:spacing w:before="26"/>
              <w:ind w:left="6" w:right="1"/>
              <w:jc w:val="center"/>
              <w:rPr>
                <w:sz w:val="18"/>
              </w:rPr>
            </w:pPr>
            <w:r>
              <w:rPr>
                <w:spacing w:val="-4"/>
                <w:sz w:val="18"/>
              </w:rPr>
              <w:t>Reserva</w:t>
            </w:r>
            <w:r>
              <w:rPr>
                <w:spacing w:val="-9"/>
                <w:sz w:val="18"/>
              </w:rPr>
              <w:t> </w:t>
            </w:r>
            <w:r>
              <w:rPr>
                <w:spacing w:val="-4"/>
                <w:sz w:val="18"/>
              </w:rPr>
              <w:t>de</w:t>
            </w:r>
            <w:r>
              <w:rPr>
                <w:spacing w:val="-9"/>
                <w:sz w:val="18"/>
              </w:rPr>
              <w:t> </w:t>
            </w:r>
            <w:r>
              <w:rPr>
                <w:spacing w:val="-4"/>
                <w:sz w:val="18"/>
              </w:rPr>
              <w:t>capitalización</w:t>
            </w:r>
            <w:r>
              <w:rPr>
                <w:spacing w:val="-6"/>
                <w:sz w:val="18"/>
              </w:rPr>
              <w:t> </w:t>
            </w:r>
            <w:r>
              <w:rPr>
                <w:spacing w:val="-4"/>
                <w:sz w:val="18"/>
              </w:rPr>
              <w:t>IS</w:t>
            </w:r>
            <w:r>
              <w:rPr>
                <w:spacing w:val="-7"/>
                <w:sz w:val="18"/>
              </w:rPr>
              <w:t> </w:t>
            </w:r>
            <w:r>
              <w:rPr>
                <w:spacing w:val="-4"/>
                <w:sz w:val="18"/>
              </w:rPr>
              <w:t>2016</w:t>
            </w:r>
          </w:p>
        </w:tc>
        <w:tc>
          <w:tcPr>
            <w:tcW w:w="85" w:type="dxa"/>
          </w:tcPr>
          <w:p>
            <w:pPr>
              <w:pStyle w:val="TableParagraph"/>
              <w:rPr>
                <w:sz w:val="20"/>
              </w:rPr>
            </w:pPr>
          </w:p>
        </w:tc>
        <w:tc>
          <w:tcPr>
            <w:tcW w:w="1223" w:type="dxa"/>
          </w:tcPr>
          <w:p>
            <w:pPr>
              <w:pStyle w:val="TableParagraph"/>
              <w:tabs>
                <w:tab w:pos="769" w:val="left" w:leader="none"/>
              </w:tabs>
              <w:spacing w:before="26"/>
              <w:ind w:right="31"/>
              <w:jc w:val="right"/>
              <w:rPr>
                <w:sz w:val="18"/>
              </w:rPr>
            </w:pPr>
            <w:r>
              <w:rPr>
                <w:sz w:val="18"/>
                <w:u w:val="single"/>
              </w:rPr>
              <w:tab/>
            </w:r>
            <w:r>
              <w:rPr>
                <w:spacing w:val="-2"/>
                <w:sz w:val="18"/>
                <w:u w:val="single"/>
              </w:rPr>
              <w:t>95,00</w:t>
            </w:r>
          </w:p>
        </w:tc>
      </w:tr>
      <w:tr>
        <w:trPr>
          <w:trHeight w:val="279" w:hRule="atLeast"/>
        </w:trPr>
        <w:tc>
          <w:tcPr>
            <w:tcW w:w="2694" w:type="dxa"/>
          </w:tcPr>
          <w:p>
            <w:pPr>
              <w:pStyle w:val="TableParagraph"/>
              <w:rPr>
                <w:sz w:val="20"/>
              </w:rPr>
            </w:pPr>
          </w:p>
        </w:tc>
        <w:tc>
          <w:tcPr>
            <w:tcW w:w="85" w:type="dxa"/>
          </w:tcPr>
          <w:p>
            <w:pPr>
              <w:pStyle w:val="TableParagraph"/>
              <w:rPr>
                <w:sz w:val="20"/>
              </w:rPr>
            </w:pPr>
          </w:p>
        </w:tc>
        <w:tc>
          <w:tcPr>
            <w:tcW w:w="1223" w:type="dxa"/>
            <w:tcBorders>
              <w:bottom w:val="single" w:sz="8" w:space="0" w:color="000000"/>
            </w:tcBorders>
          </w:tcPr>
          <w:p>
            <w:pPr>
              <w:pStyle w:val="TableParagraph"/>
              <w:tabs>
                <w:tab w:pos="467" w:val="left" w:leader="none"/>
              </w:tabs>
              <w:spacing w:before="32"/>
              <w:ind w:right="31"/>
              <w:jc w:val="right"/>
              <w:rPr>
                <w:sz w:val="18"/>
              </w:rPr>
            </w:pPr>
            <w:r>
              <w:rPr>
                <w:sz w:val="18"/>
                <w:u w:val="single"/>
              </w:rPr>
              <w:tab/>
            </w:r>
            <w:r>
              <w:rPr>
                <w:spacing w:val="-2"/>
                <w:sz w:val="18"/>
                <w:u w:val="single"/>
              </w:rPr>
              <w:t>77.098,05</w:t>
            </w:r>
          </w:p>
        </w:tc>
      </w:tr>
    </w:tbl>
    <w:p>
      <w:pPr>
        <w:pStyle w:val="BodyText"/>
        <w:spacing w:before="234"/>
        <w:ind w:left="1418"/>
        <w:jc w:val="both"/>
      </w:pPr>
      <w:r>
        <w:rPr>
          <w:spacing w:val="-2"/>
        </w:rPr>
        <w:t>El</w:t>
      </w:r>
      <w:r>
        <w:rPr>
          <w:spacing w:val="-9"/>
        </w:rPr>
        <w:t> </w:t>
      </w:r>
      <w:r>
        <w:rPr>
          <w:spacing w:val="-2"/>
        </w:rPr>
        <w:t>detalle</w:t>
      </w:r>
      <w:r>
        <w:rPr>
          <w:spacing w:val="-9"/>
        </w:rPr>
        <w:t> </w:t>
      </w:r>
      <w:r>
        <w:rPr>
          <w:spacing w:val="-2"/>
        </w:rPr>
        <w:t>de</w:t>
      </w:r>
      <w:r>
        <w:rPr>
          <w:spacing w:val="-7"/>
        </w:rPr>
        <w:t> </w:t>
      </w:r>
      <w:r>
        <w:rPr>
          <w:spacing w:val="-2"/>
        </w:rPr>
        <w:t>las</w:t>
      </w:r>
      <w:r>
        <w:rPr>
          <w:spacing w:val="-8"/>
        </w:rPr>
        <w:t> </w:t>
      </w:r>
      <w:r>
        <w:rPr>
          <w:spacing w:val="-2"/>
        </w:rPr>
        <w:t>deducciones</w:t>
      </w:r>
      <w:r>
        <w:rPr>
          <w:spacing w:val="-7"/>
        </w:rPr>
        <w:t> </w:t>
      </w:r>
      <w:r>
        <w:rPr>
          <w:spacing w:val="-2"/>
        </w:rPr>
        <w:t>aplicadas</w:t>
      </w:r>
      <w:r>
        <w:rPr>
          <w:spacing w:val="-8"/>
        </w:rPr>
        <w:t> </w:t>
      </w:r>
      <w:r>
        <w:rPr>
          <w:spacing w:val="-2"/>
        </w:rPr>
        <w:t>es</w:t>
      </w:r>
      <w:r>
        <w:rPr>
          <w:spacing w:val="-7"/>
        </w:rPr>
        <w:t> </w:t>
      </w:r>
      <w:r>
        <w:rPr>
          <w:spacing w:val="-2"/>
        </w:rPr>
        <w:t>el</w:t>
      </w:r>
      <w:r>
        <w:rPr>
          <w:spacing w:val="-7"/>
        </w:rPr>
        <w:t> </w:t>
      </w:r>
      <w:r>
        <w:rPr>
          <w:spacing w:val="-2"/>
        </w:rPr>
        <w:t>siguiente:</w:t>
      </w:r>
    </w:p>
    <w:p>
      <w:pPr>
        <w:tabs>
          <w:tab w:pos="1791" w:val="left" w:leader="none"/>
        </w:tabs>
        <w:spacing w:before="46"/>
        <w:ind w:left="359" w:right="0" w:firstLine="0"/>
        <w:jc w:val="center"/>
        <w:rPr>
          <w:b/>
          <w:sz w:val="18"/>
        </w:rPr>
      </w:pPr>
      <w:r>
        <w:rPr>
          <w:b/>
          <w:sz w:val="18"/>
        </w:rPr>
        <mc:AlternateContent>
          <mc:Choice Requires="wps">
            <w:drawing>
              <wp:anchor distT="0" distB="0" distL="0" distR="0" allowOverlap="1" layoutInCell="1" locked="0" behindDoc="1" simplePos="0" relativeHeight="487595008">
                <wp:simplePos x="0" y="0"/>
                <wp:positionH relativeFrom="page">
                  <wp:posOffset>3128264</wp:posOffset>
                </wp:positionH>
                <wp:positionV relativeFrom="paragraph">
                  <wp:posOffset>190895</wp:posOffset>
                </wp:positionV>
                <wp:extent cx="610235" cy="1270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610235" cy="12700"/>
                        </a:xfrm>
                        <a:custGeom>
                          <a:avLst/>
                          <a:gdLst/>
                          <a:ahLst/>
                          <a:cxnLst/>
                          <a:rect l="l" t="t" r="r" b="b"/>
                          <a:pathLst>
                            <a:path w="610235" h="12700">
                              <a:moveTo>
                                <a:pt x="609853" y="0"/>
                              </a:moveTo>
                              <a:lnTo>
                                <a:pt x="0" y="0"/>
                              </a:lnTo>
                              <a:lnTo>
                                <a:pt x="0" y="12191"/>
                              </a:lnTo>
                              <a:lnTo>
                                <a:pt x="609853" y="12191"/>
                              </a:lnTo>
                              <a:lnTo>
                                <a:pt x="6098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6.320007pt;margin-top:15.031134pt;width:48.02pt;height:.95996pt;mso-position-horizontal-relative:page;mso-position-vertical-relative:paragraph;z-index:-15721472;mso-wrap-distance-left:0;mso-wrap-distance-right:0" id="docshape34" filled="true" fillcolor="#000000" stroked="false">
                <v:fill type="solid"/>
                <w10:wrap type="topAndBottom"/>
              </v:rect>
            </w:pict>
          </mc:Fallback>
        </mc:AlternateContent>
      </w:r>
      <w:r>
        <w:rPr>
          <w:b/>
          <w:sz w:val="18"/>
        </w:rPr>
        <mc:AlternateContent>
          <mc:Choice Requires="wps">
            <w:drawing>
              <wp:anchor distT="0" distB="0" distL="0" distR="0" allowOverlap="1" layoutInCell="1" locked="0" behindDoc="1" simplePos="0" relativeHeight="487595520">
                <wp:simplePos x="0" y="0"/>
                <wp:positionH relativeFrom="page">
                  <wp:posOffset>3966717</wp:posOffset>
                </wp:positionH>
                <wp:positionV relativeFrom="paragraph">
                  <wp:posOffset>190895</wp:posOffset>
                </wp:positionV>
                <wp:extent cx="740410" cy="1270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740410" cy="12700"/>
                        </a:xfrm>
                        <a:custGeom>
                          <a:avLst/>
                          <a:gdLst/>
                          <a:ahLst/>
                          <a:cxnLst/>
                          <a:rect l="l" t="t" r="r" b="b"/>
                          <a:pathLst>
                            <a:path w="740410" h="12700">
                              <a:moveTo>
                                <a:pt x="739901" y="0"/>
                              </a:moveTo>
                              <a:lnTo>
                                <a:pt x="0" y="0"/>
                              </a:lnTo>
                              <a:lnTo>
                                <a:pt x="0" y="12191"/>
                              </a:lnTo>
                              <a:lnTo>
                                <a:pt x="739901" y="12191"/>
                              </a:lnTo>
                              <a:lnTo>
                                <a:pt x="7399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2.339996pt;margin-top:15.031134pt;width:58.26pt;height:.95996pt;mso-position-horizontal-relative:page;mso-position-vertical-relative:paragraph;z-index:-15720960;mso-wrap-distance-left:0;mso-wrap-distance-right:0" id="docshape35" filled="true" fillcolor="#000000" stroked="false">
                <v:fill type="solid"/>
                <w10:wrap type="topAndBottom"/>
              </v:rect>
            </w:pict>
          </mc:Fallback>
        </mc:AlternateContent>
      </w:r>
      <w:r>
        <w:rPr>
          <w:b/>
          <w:spacing w:val="-5"/>
          <w:sz w:val="18"/>
        </w:rPr>
        <w:t>Año</w:t>
      </w:r>
      <w:r>
        <w:rPr>
          <w:b/>
          <w:sz w:val="18"/>
        </w:rPr>
        <w:tab/>
      </w:r>
      <w:r>
        <w:rPr>
          <w:b/>
          <w:spacing w:val="-2"/>
          <w:sz w:val="18"/>
        </w:rPr>
        <w:t>Importe</w:t>
      </w:r>
    </w:p>
    <w:p>
      <w:pPr>
        <w:tabs>
          <w:tab w:pos="1770" w:val="left" w:leader="none"/>
        </w:tabs>
        <w:spacing w:before="42"/>
        <w:ind w:left="374" w:right="0" w:firstLine="0"/>
        <w:jc w:val="center"/>
        <w:rPr>
          <w:sz w:val="18"/>
        </w:rPr>
      </w:pPr>
      <w:r>
        <w:rPr>
          <w:spacing w:val="-4"/>
          <w:sz w:val="18"/>
        </w:rPr>
        <w:t>2024</w:t>
      </w:r>
      <w:r>
        <w:rPr>
          <w:sz w:val="18"/>
        </w:rPr>
        <w:tab/>
      </w:r>
      <w:r>
        <w:rPr>
          <w:spacing w:val="-2"/>
          <w:sz w:val="18"/>
        </w:rPr>
        <w:t>76.574,35</w:t>
      </w:r>
    </w:p>
    <w:p>
      <w:pPr>
        <w:tabs>
          <w:tab w:pos="1995" w:val="left" w:leader="none"/>
        </w:tabs>
        <w:spacing w:before="82"/>
        <w:ind w:left="374" w:right="0" w:firstLine="0"/>
        <w:jc w:val="center"/>
        <w:rPr>
          <w:sz w:val="18"/>
        </w:rPr>
      </w:pPr>
      <w:r>
        <w:rPr>
          <w:spacing w:val="-4"/>
          <w:sz w:val="18"/>
        </w:rPr>
        <w:t>2015</w:t>
      </w:r>
      <w:r>
        <w:rPr>
          <w:sz w:val="18"/>
        </w:rPr>
        <w:tab/>
      </w:r>
      <w:r>
        <w:rPr>
          <w:spacing w:val="-2"/>
          <w:sz w:val="18"/>
        </w:rPr>
        <w:t>428,70</w:t>
      </w:r>
    </w:p>
    <w:p>
      <w:pPr>
        <w:tabs>
          <w:tab w:pos="2085" w:val="left" w:leader="none"/>
        </w:tabs>
        <w:spacing w:before="88"/>
        <w:ind w:left="374" w:right="0" w:firstLine="0"/>
        <w:jc w:val="center"/>
        <w:rPr>
          <w:sz w:val="18"/>
        </w:rPr>
      </w:pPr>
      <w:r>
        <w:rPr>
          <w:sz w:val="18"/>
        </w:rPr>
        <mc:AlternateContent>
          <mc:Choice Requires="wps">
            <w:drawing>
              <wp:anchor distT="0" distB="0" distL="0" distR="0" allowOverlap="1" layoutInCell="1" locked="0" behindDoc="1" simplePos="0" relativeHeight="487596032">
                <wp:simplePos x="0" y="0"/>
                <wp:positionH relativeFrom="page">
                  <wp:posOffset>3966717</wp:posOffset>
                </wp:positionH>
                <wp:positionV relativeFrom="paragraph">
                  <wp:posOffset>217700</wp:posOffset>
                </wp:positionV>
                <wp:extent cx="740410" cy="1270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740410" cy="12700"/>
                        </a:xfrm>
                        <a:custGeom>
                          <a:avLst/>
                          <a:gdLst/>
                          <a:ahLst/>
                          <a:cxnLst/>
                          <a:rect l="l" t="t" r="r" b="b"/>
                          <a:pathLst>
                            <a:path w="740410" h="12700">
                              <a:moveTo>
                                <a:pt x="739901" y="0"/>
                              </a:moveTo>
                              <a:lnTo>
                                <a:pt x="0" y="0"/>
                              </a:lnTo>
                              <a:lnTo>
                                <a:pt x="0" y="12191"/>
                              </a:lnTo>
                              <a:lnTo>
                                <a:pt x="739901" y="12191"/>
                              </a:lnTo>
                              <a:lnTo>
                                <a:pt x="7399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2.339996pt;margin-top:17.141798pt;width:58.26pt;height:.95996pt;mso-position-horizontal-relative:page;mso-position-vertical-relative:paragraph;z-index:-15720448;mso-wrap-distance-left:0;mso-wrap-distance-right:0" id="docshape36" filled="true" fillcolor="#000000" stroked="false">
                <v:fill type="solid"/>
                <w10:wrap type="topAndBottom"/>
              </v:rect>
            </w:pict>
          </mc:Fallback>
        </mc:AlternateContent>
      </w:r>
      <w:r>
        <w:rPr>
          <w:spacing w:val="-4"/>
          <w:sz w:val="18"/>
        </w:rPr>
        <w:t>2016</w:t>
      </w:r>
      <w:r>
        <w:rPr>
          <w:sz w:val="18"/>
        </w:rPr>
        <w:tab/>
      </w:r>
      <w:r>
        <w:rPr>
          <w:spacing w:val="-2"/>
          <w:sz w:val="18"/>
        </w:rPr>
        <w:t>95,00</w:t>
      </w:r>
    </w:p>
    <w:p>
      <w:pPr>
        <w:spacing w:before="46" w:after="49"/>
        <w:ind w:left="1770" w:right="0" w:firstLine="0"/>
        <w:jc w:val="center"/>
        <w:rPr>
          <w:sz w:val="18"/>
        </w:rPr>
      </w:pPr>
      <w:r>
        <w:rPr>
          <w:spacing w:val="-2"/>
          <w:sz w:val="18"/>
        </w:rPr>
        <w:t>77.098,05</w:t>
      </w:r>
    </w:p>
    <w:p>
      <w:pPr>
        <w:spacing w:line="43" w:lineRule="exact"/>
        <w:ind w:left="5524" w:right="0" w:firstLine="0"/>
        <w:rPr>
          <w:position w:val="0"/>
          <w:sz w:val="4"/>
        </w:rPr>
      </w:pPr>
      <w:r>
        <w:rPr>
          <w:position w:val="0"/>
          <w:sz w:val="4"/>
        </w:rPr>
        <mc:AlternateContent>
          <mc:Choice Requires="wps">
            <w:drawing>
              <wp:inline distT="0" distB="0" distL="0" distR="0">
                <wp:extent cx="749300" cy="27940"/>
                <wp:effectExtent l="0" t="0" r="0" b="0"/>
                <wp:docPr id="37" name="Group 37"/>
                <wp:cNvGraphicFramePr>
                  <a:graphicFrameLocks/>
                </wp:cNvGraphicFramePr>
                <a:graphic>
                  <a:graphicData uri="http://schemas.microsoft.com/office/word/2010/wordprocessingGroup">
                    <wpg:wgp>
                      <wpg:cNvPr id="37" name="Group 37"/>
                      <wpg:cNvGrpSpPr/>
                      <wpg:grpSpPr>
                        <a:xfrm>
                          <a:off x="0" y="0"/>
                          <a:ext cx="749300" cy="27940"/>
                          <a:chExt cx="749300" cy="27940"/>
                        </a:xfrm>
                      </wpg:grpSpPr>
                      <wps:wsp>
                        <wps:cNvPr id="38" name="Graphic 38"/>
                        <wps:cNvSpPr/>
                        <wps:spPr>
                          <a:xfrm>
                            <a:off x="0" y="0"/>
                            <a:ext cx="749300" cy="27940"/>
                          </a:xfrm>
                          <a:custGeom>
                            <a:avLst/>
                            <a:gdLst/>
                            <a:ahLst/>
                            <a:cxnLst/>
                            <a:rect l="l" t="t" r="r" b="b"/>
                            <a:pathLst>
                              <a:path w="749300" h="27940">
                                <a:moveTo>
                                  <a:pt x="749046" y="18288"/>
                                </a:moveTo>
                                <a:lnTo>
                                  <a:pt x="0" y="18288"/>
                                </a:lnTo>
                                <a:lnTo>
                                  <a:pt x="0" y="27432"/>
                                </a:lnTo>
                                <a:lnTo>
                                  <a:pt x="749046" y="27432"/>
                                </a:lnTo>
                                <a:lnTo>
                                  <a:pt x="749046" y="18288"/>
                                </a:lnTo>
                                <a:close/>
                              </a:path>
                              <a:path w="749300" h="27940">
                                <a:moveTo>
                                  <a:pt x="749046" y="0"/>
                                </a:moveTo>
                                <a:lnTo>
                                  <a:pt x="0" y="0"/>
                                </a:lnTo>
                                <a:lnTo>
                                  <a:pt x="0" y="9144"/>
                                </a:lnTo>
                                <a:lnTo>
                                  <a:pt x="749046" y="9144"/>
                                </a:lnTo>
                                <a:lnTo>
                                  <a:pt x="7490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9pt;height:2.2pt;mso-position-horizontal-relative:char;mso-position-vertical-relative:line" id="docshapegroup37" coordorigin="0,0" coordsize="1180,44">
                <v:shape style="position:absolute;left:0;top:0;width:1180;height:44" id="docshape38" coordorigin="0,0" coordsize="1180,44" path="m1180,29l0,29,0,43,1180,43,1180,29xm1180,0l0,0,0,14,1180,14,1180,0xe" filled="true" fillcolor="#000000" stroked="false">
                  <v:path arrowok="t"/>
                  <v:fill type="solid"/>
                </v:shape>
              </v:group>
            </w:pict>
          </mc:Fallback>
        </mc:AlternateContent>
      </w:r>
      <w:r>
        <w:rPr>
          <w:position w:val="0"/>
          <w:sz w:val="4"/>
        </w:rPr>
      </w:r>
    </w:p>
    <w:p>
      <w:pPr>
        <w:pStyle w:val="BodyText"/>
        <w:spacing w:before="57"/>
      </w:pPr>
    </w:p>
    <w:p>
      <w:pPr>
        <w:pStyle w:val="ListParagraph"/>
        <w:numPr>
          <w:ilvl w:val="1"/>
          <w:numId w:val="11"/>
        </w:numPr>
        <w:tabs>
          <w:tab w:pos="1415" w:val="left" w:leader="none"/>
        </w:tabs>
        <w:spacing w:line="240" w:lineRule="auto" w:before="1" w:after="0"/>
        <w:ind w:left="1415" w:right="0" w:hanging="345"/>
        <w:jc w:val="left"/>
        <w:rPr>
          <w:sz w:val="22"/>
        </w:rPr>
      </w:pPr>
      <w:r>
        <w:rPr>
          <w:spacing w:val="-4"/>
          <w:sz w:val="22"/>
        </w:rPr>
        <w:t>Otras</w:t>
      </w:r>
      <w:r>
        <w:rPr>
          <w:spacing w:val="-3"/>
          <w:sz w:val="22"/>
        </w:rPr>
        <w:t> </w:t>
      </w:r>
      <w:r>
        <w:rPr>
          <w:spacing w:val="-2"/>
          <w:sz w:val="22"/>
        </w:rPr>
        <w:t>reservas</w:t>
      </w:r>
    </w:p>
    <w:p>
      <w:pPr>
        <w:pStyle w:val="BodyText"/>
        <w:spacing w:before="14"/>
      </w:pPr>
    </w:p>
    <w:p>
      <w:pPr>
        <w:pStyle w:val="BodyText"/>
        <w:spacing w:line="244" w:lineRule="auto"/>
        <w:ind w:left="1418" w:right="794"/>
      </w:pPr>
      <w:r>
        <w:rPr/>
        <w:t>Al</w:t>
      </w:r>
      <w:r>
        <w:rPr>
          <w:spacing w:val="-6"/>
        </w:rPr>
        <w:t> </w:t>
      </w:r>
      <w:r>
        <w:rPr/>
        <w:t>cierre</w:t>
      </w:r>
      <w:r>
        <w:rPr>
          <w:spacing w:val="-8"/>
        </w:rPr>
        <w:t> </w:t>
      </w:r>
      <w:r>
        <w:rPr/>
        <w:t>de</w:t>
      </w:r>
      <w:r>
        <w:rPr>
          <w:spacing w:val="-6"/>
        </w:rPr>
        <w:t> </w:t>
      </w:r>
      <w:r>
        <w:rPr/>
        <w:t>los</w:t>
      </w:r>
      <w:r>
        <w:rPr>
          <w:spacing w:val="-5"/>
        </w:rPr>
        <w:t> </w:t>
      </w:r>
      <w:r>
        <w:rPr/>
        <w:t>ejercicios</w:t>
      </w:r>
      <w:r>
        <w:rPr>
          <w:spacing w:val="-5"/>
        </w:rPr>
        <w:t> </w:t>
      </w:r>
      <w:r>
        <w:rPr/>
        <w:t>2025 y</w:t>
      </w:r>
      <w:r>
        <w:rPr>
          <w:spacing w:val="-7"/>
        </w:rPr>
        <w:t> </w:t>
      </w:r>
      <w:r>
        <w:rPr/>
        <w:t>2024,</w:t>
      </w:r>
      <w:r>
        <w:rPr>
          <w:spacing w:val="-5"/>
        </w:rPr>
        <w:t> </w:t>
      </w:r>
      <w:r>
        <w:rPr/>
        <w:t>la</w:t>
      </w:r>
      <w:r>
        <w:rPr>
          <w:spacing w:val="-7"/>
        </w:rPr>
        <w:t> </w:t>
      </w:r>
      <w:r>
        <w:rPr/>
        <w:t>Sociedad</w:t>
      </w:r>
      <w:r>
        <w:rPr>
          <w:spacing w:val="-6"/>
        </w:rPr>
        <w:t> </w:t>
      </w:r>
      <w:r>
        <w:rPr/>
        <w:t>tiene</w:t>
      </w:r>
      <w:r>
        <w:rPr>
          <w:spacing w:val="-7"/>
        </w:rPr>
        <w:t> </w:t>
      </w:r>
      <w:r>
        <w:rPr/>
        <w:t>unas</w:t>
      </w:r>
      <w:r>
        <w:rPr>
          <w:spacing w:val="-7"/>
        </w:rPr>
        <w:t> </w:t>
      </w:r>
      <w:r>
        <w:rPr/>
        <w:t>reservas</w:t>
      </w:r>
      <w:r>
        <w:rPr>
          <w:spacing w:val="-7"/>
        </w:rPr>
        <w:t> </w:t>
      </w:r>
      <w:r>
        <w:rPr/>
        <w:t>voluntarias</w:t>
      </w:r>
      <w:r>
        <w:rPr>
          <w:spacing w:val="-7"/>
        </w:rPr>
        <w:t> </w:t>
      </w:r>
      <w:r>
        <w:rPr/>
        <w:t>que</w:t>
      </w:r>
      <w:r>
        <w:rPr>
          <w:spacing w:val="-7"/>
        </w:rPr>
        <w:t> </w:t>
      </w:r>
      <w:r>
        <w:rPr/>
        <w:t>ascienden a 1.444.737,39 euros y 530.406,39 euros, respectivamente.</w:t>
      </w:r>
    </w:p>
    <w:p>
      <w:pPr>
        <w:pStyle w:val="BodyText"/>
        <w:spacing w:after="0" w:line="244" w:lineRule="auto"/>
        <w:sectPr>
          <w:pgSz w:w="11910" w:h="16840"/>
          <w:pgMar w:header="694" w:footer="690" w:top="1920" w:bottom="880" w:left="708" w:right="425"/>
        </w:sectPr>
      </w:pPr>
    </w:p>
    <w:p>
      <w:pPr>
        <w:pStyle w:val="Heading1"/>
        <w:numPr>
          <w:ilvl w:val="0"/>
          <w:numId w:val="11"/>
        </w:numPr>
        <w:tabs>
          <w:tab w:pos="708" w:val="left" w:leader="none"/>
        </w:tabs>
        <w:spacing w:line="240" w:lineRule="auto" w:before="186" w:after="0"/>
        <w:ind w:left="708" w:right="0" w:hanging="358"/>
        <w:jc w:val="left"/>
      </w:pPr>
      <w:r>
        <w:rPr/>
        <w:t>Situación</w:t>
      </w:r>
      <w:r>
        <w:rPr>
          <w:spacing w:val="-13"/>
        </w:rPr>
        <w:t> </w:t>
      </w:r>
      <w:r>
        <w:rPr>
          <w:spacing w:val="-2"/>
        </w:rPr>
        <w:t>fiscal</w:t>
      </w:r>
    </w:p>
    <w:p>
      <w:pPr>
        <w:pStyle w:val="BodyText"/>
        <w:spacing w:before="5"/>
        <w:rPr>
          <w:b/>
        </w:rPr>
      </w:pPr>
    </w:p>
    <w:p>
      <w:pPr>
        <w:pStyle w:val="BodyText"/>
        <w:spacing w:line="244" w:lineRule="auto"/>
        <w:ind w:left="995" w:right="794"/>
      </w:pPr>
      <w:r>
        <w:rPr/>
        <w:t>El</w:t>
      </w:r>
      <w:r>
        <w:rPr>
          <w:spacing w:val="-3"/>
        </w:rPr>
        <w:t> </w:t>
      </w:r>
      <w:r>
        <w:rPr/>
        <w:t>detalle</w:t>
      </w:r>
      <w:r>
        <w:rPr>
          <w:spacing w:val="-4"/>
        </w:rPr>
        <w:t> </w:t>
      </w:r>
      <w:r>
        <w:rPr/>
        <w:t>de</w:t>
      </w:r>
      <w:r>
        <w:rPr>
          <w:spacing w:val="-4"/>
        </w:rPr>
        <w:t> </w:t>
      </w:r>
      <w:r>
        <w:rPr/>
        <w:t>las</w:t>
      </w:r>
      <w:r>
        <w:rPr>
          <w:spacing w:val="-4"/>
        </w:rPr>
        <w:t> </w:t>
      </w:r>
      <w:r>
        <w:rPr/>
        <w:t>cuentas</w:t>
      </w:r>
      <w:r>
        <w:rPr>
          <w:spacing w:val="-4"/>
        </w:rPr>
        <w:t> </w:t>
      </w:r>
      <w:r>
        <w:rPr/>
        <w:t>relacionadas</w:t>
      </w:r>
      <w:r>
        <w:rPr>
          <w:spacing w:val="-4"/>
        </w:rPr>
        <w:t> </w:t>
      </w:r>
      <w:r>
        <w:rPr/>
        <w:t>con</w:t>
      </w:r>
      <w:r>
        <w:rPr>
          <w:spacing w:val="-3"/>
        </w:rPr>
        <w:t> </w:t>
      </w:r>
      <w:r>
        <w:rPr/>
        <w:t>Administraciones</w:t>
      </w:r>
      <w:r>
        <w:rPr>
          <w:spacing w:val="-4"/>
        </w:rPr>
        <w:t> </w:t>
      </w:r>
      <w:r>
        <w:rPr/>
        <w:t>Públicas</w:t>
      </w:r>
      <w:r>
        <w:rPr>
          <w:spacing w:val="-4"/>
        </w:rPr>
        <w:t> </w:t>
      </w:r>
      <w:r>
        <w:rPr/>
        <w:t>en</w:t>
      </w:r>
      <w:r>
        <w:rPr>
          <w:spacing w:val="-3"/>
        </w:rPr>
        <w:t> </w:t>
      </w:r>
      <w:r>
        <w:rPr/>
        <w:t>los</w:t>
      </w:r>
      <w:r>
        <w:rPr>
          <w:spacing w:val="-4"/>
        </w:rPr>
        <w:t> </w:t>
      </w:r>
      <w:r>
        <w:rPr/>
        <w:t>ejercicios</w:t>
      </w:r>
      <w:r>
        <w:rPr>
          <w:spacing w:val="-4"/>
        </w:rPr>
        <w:t> </w:t>
      </w:r>
      <w:r>
        <w:rPr/>
        <w:t>2025</w:t>
      </w:r>
      <w:r>
        <w:rPr>
          <w:spacing w:val="-3"/>
        </w:rPr>
        <w:t> </w:t>
      </w:r>
      <w:r>
        <w:rPr/>
        <w:t>y</w:t>
      </w:r>
      <w:r>
        <w:rPr>
          <w:spacing w:val="-5"/>
        </w:rPr>
        <w:t> </w:t>
      </w:r>
      <w:r>
        <w:rPr/>
        <w:t>2024</w:t>
      </w:r>
      <w:r>
        <w:rPr>
          <w:spacing w:val="-4"/>
        </w:rPr>
        <w:t> </w:t>
      </w:r>
      <w:r>
        <w:rPr/>
        <w:t>es el siguiente:</w:t>
      </w:r>
    </w:p>
    <w:p>
      <w:pPr>
        <w:tabs>
          <w:tab w:pos="5260" w:val="left" w:leader="none"/>
          <w:tab w:pos="7600" w:val="left" w:leader="none"/>
          <w:tab w:pos="9437" w:val="left" w:leader="none"/>
        </w:tabs>
        <w:spacing w:before="40" w:after="49"/>
        <w:ind w:left="4606" w:right="0" w:firstLine="0"/>
        <w:jc w:val="left"/>
        <w:rPr>
          <w:b/>
          <w:sz w:val="16"/>
        </w:rPr>
      </w:pPr>
      <w:r>
        <w:rPr>
          <w:b/>
          <w:sz w:val="16"/>
          <w:u w:val="single"/>
        </w:rPr>
        <w:tab/>
        <w:t>Saldos</w:t>
      </w:r>
      <w:r>
        <w:rPr>
          <w:b/>
          <w:spacing w:val="-6"/>
          <w:sz w:val="16"/>
          <w:u w:val="single"/>
        </w:rPr>
        <w:t> </w:t>
      </w:r>
      <w:r>
        <w:rPr>
          <w:b/>
          <w:spacing w:val="-2"/>
          <w:sz w:val="16"/>
          <w:u w:val="single"/>
        </w:rPr>
        <w:t>deudores</w:t>
      </w:r>
      <w:r>
        <w:rPr>
          <w:b/>
          <w:sz w:val="16"/>
          <w:u w:val="single"/>
        </w:rPr>
        <w:tab/>
        <w:t>Saldos</w:t>
      </w:r>
      <w:r>
        <w:rPr>
          <w:b/>
          <w:spacing w:val="-6"/>
          <w:sz w:val="16"/>
          <w:u w:val="single"/>
        </w:rPr>
        <w:t> </w:t>
      </w:r>
      <w:r>
        <w:rPr>
          <w:b/>
          <w:spacing w:val="-2"/>
          <w:sz w:val="16"/>
          <w:u w:val="single"/>
        </w:rPr>
        <w:t>Acreedores</w:t>
      </w:r>
      <w:r>
        <w:rPr>
          <w:b/>
          <w:sz w:val="16"/>
          <w:u w:val="single"/>
        </w:rPr>
        <w:tab/>
      </w:r>
    </w:p>
    <w:tbl>
      <w:tblPr>
        <w:tblW w:w="0" w:type="auto"/>
        <w:jc w:val="left"/>
        <w:tblInd w:w="1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03"/>
        <w:gridCol w:w="1322"/>
        <w:gridCol w:w="1268"/>
        <w:gridCol w:w="1169"/>
        <w:gridCol w:w="1074"/>
      </w:tblGrid>
      <w:tr>
        <w:trPr>
          <w:trHeight w:val="198" w:hRule="atLeast"/>
        </w:trPr>
        <w:tc>
          <w:tcPr>
            <w:tcW w:w="3103" w:type="dxa"/>
          </w:tcPr>
          <w:p>
            <w:pPr>
              <w:pStyle w:val="TableParagraph"/>
              <w:spacing w:line="177" w:lineRule="exact"/>
              <w:ind w:right="20"/>
              <w:jc w:val="center"/>
              <w:rPr>
                <w:b/>
                <w:sz w:val="16"/>
              </w:rPr>
            </w:pPr>
            <w:r>
              <w:rPr>
                <w:b/>
                <w:spacing w:val="-2"/>
                <w:sz w:val="16"/>
              </w:rPr>
              <w:t>Cuenta</w:t>
            </w:r>
          </w:p>
        </w:tc>
        <w:tc>
          <w:tcPr>
            <w:tcW w:w="1322" w:type="dxa"/>
            <w:tcBorders>
              <w:bottom w:val="single" w:sz="8" w:space="0" w:color="000000"/>
            </w:tcBorders>
          </w:tcPr>
          <w:p>
            <w:pPr>
              <w:pStyle w:val="TableParagraph"/>
              <w:spacing w:line="177" w:lineRule="exact"/>
              <w:ind w:right="112"/>
              <w:jc w:val="center"/>
              <w:rPr>
                <w:b/>
                <w:sz w:val="16"/>
              </w:rPr>
            </w:pPr>
            <w:r>
              <w:rPr>
                <w:b/>
                <w:spacing w:val="-4"/>
                <w:sz w:val="16"/>
              </w:rPr>
              <w:t>2025</w:t>
            </w:r>
          </w:p>
        </w:tc>
        <w:tc>
          <w:tcPr>
            <w:tcW w:w="1268" w:type="dxa"/>
            <w:tcBorders>
              <w:bottom w:val="single" w:sz="8" w:space="0" w:color="000000"/>
            </w:tcBorders>
          </w:tcPr>
          <w:p>
            <w:pPr>
              <w:pStyle w:val="TableParagraph"/>
              <w:spacing w:line="177" w:lineRule="exact"/>
              <w:ind w:left="329"/>
              <w:rPr>
                <w:b/>
                <w:sz w:val="16"/>
              </w:rPr>
            </w:pPr>
            <w:r>
              <w:rPr>
                <w:b/>
                <w:spacing w:val="-4"/>
                <w:sz w:val="16"/>
              </w:rPr>
              <w:t>2024</w:t>
            </w:r>
          </w:p>
        </w:tc>
        <w:tc>
          <w:tcPr>
            <w:tcW w:w="1169" w:type="dxa"/>
            <w:tcBorders>
              <w:bottom w:val="single" w:sz="8" w:space="0" w:color="000000"/>
            </w:tcBorders>
          </w:tcPr>
          <w:p>
            <w:pPr>
              <w:pStyle w:val="TableParagraph"/>
              <w:spacing w:line="177" w:lineRule="exact"/>
              <w:ind w:left="255"/>
              <w:rPr>
                <w:b/>
                <w:sz w:val="16"/>
              </w:rPr>
            </w:pPr>
            <w:r>
              <w:rPr>
                <w:b/>
                <w:spacing w:val="-4"/>
                <w:sz w:val="16"/>
              </w:rPr>
              <w:t>2025</w:t>
            </w:r>
          </w:p>
        </w:tc>
        <w:tc>
          <w:tcPr>
            <w:tcW w:w="1074" w:type="dxa"/>
            <w:tcBorders>
              <w:bottom w:val="single" w:sz="8" w:space="0" w:color="000000"/>
            </w:tcBorders>
          </w:tcPr>
          <w:p>
            <w:pPr>
              <w:pStyle w:val="TableParagraph"/>
              <w:spacing w:line="177" w:lineRule="exact"/>
              <w:ind w:left="295"/>
              <w:rPr>
                <w:b/>
                <w:sz w:val="16"/>
              </w:rPr>
            </w:pPr>
            <w:r>
              <w:rPr>
                <w:b/>
                <w:spacing w:val="-4"/>
                <w:sz w:val="16"/>
              </w:rPr>
              <w:t>2024</w:t>
            </w:r>
          </w:p>
        </w:tc>
      </w:tr>
      <w:tr>
        <w:trPr>
          <w:trHeight w:val="230" w:hRule="atLeast"/>
        </w:trPr>
        <w:tc>
          <w:tcPr>
            <w:tcW w:w="3103" w:type="dxa"/>
          </w:tcPr>
          <w:p>
            <w:pPr>
              <w:pStyle w:val="TableParagraph"/>
              <w:spacing w:before="22"/>
              <w:ind w:left="50"/>
              <w:rPr>
                <w:sz w:val="16"/>
              </w:rPr>
            </w:pPr>
            <w:r>
              <w:rPr>
                <w:sz w:val="16"/>
              </w:rPr>
              <w:t>Impuesto</w:t>
            </w:r>
            <w:r>
              <w:rPr>
                <w:spacing w:val="-4"/>
                <w:sz w:val="16"/>
              </w:rPr>
              <w:t> </w:t>
            </w:r>
            <w:r>
              <w:rPr>
                <w:sz w:val="16"/>
              </w:rPr>
              <w:t>sobre</w:t>
            </w:r>
            <w:r>
              <w:rPr>
                <w:spacing w:val="-5"/>
                <w:sz w:val="16"/>
              </w:rPr>
              <w:t> </w:t>
            </w:r>
            <w:r>
              <w:rPr>
                <w:sz w:val="16"/>
              </w:rPr>
              <w:t>el</w:t>
            </w:r>
            <w:r>
              <w:rPr>
                <w:spacing w:val="-4"/>
                <w:sz w:val="16"/>
              </w:rPr>
              <w:t> </w:t>
            </w:r>
            <w:r>
              <w:rPr>
                <w:sz w:val="16"/>
              </w:rPr>
              <w:t>valor</w:t>
            </w:r>
            <w:r>
              <w:rPr>
                <w:spacing w:val="-4"/>
                <w:sz w:val="16"/>
              </w:rPr>
              <w:t> </w:t>
            </w:r>
            <w:r>
              <w:rPr>
                <w:spacing w:val="-2"/>
                <w:sz w:val="16"/>
              </w:rPr>
              <w:t>añadido</w:t>
            </w:r>
          </w:p>
        </w:tc>
        <w:tc>
          <w:tcPr>
            <w:tcW w:w="1322" w:type="dxa"/>
            <w:tcBorders>
              <w:top w:val="single" w:sz="8" w:space="0" w:color="000000"/>
            </w:tcBorders>
          </w:tcPr>
          <w:p>
            <w:pPr>
              <w:pStyle w:val="TableParagraph"/>
              <w:spacing w:before="22"/>
              <w:ind w:right="182"/>
              <w:jc w:val="right"/>
              <w:rPr>
                <w:sz w:val="16"/>
              </w:rPr>
            </w:pPr>
            <w:r>
              <w:rPr>
                <w:spacing w:val="-2"/>
                <w:sz w:val="16"/>
              </w:rPr>
              <w:t>3.450.107,31</w:t>
            </w:r>
          </w:p>
        </w:tc>
        <w:tc>
          <w:tcPr>
            <w:tcW w:w="1268" w:type="dxa"/>
            <w:tcBorders>
              <w:top w:val="single" w:sz="8" w:space="0" w:color="000000"/>
            </w:tcBorders>
          </w:tcPr>
          <w:p>
            <w:pPr>
              <w:pStyle w:val="TableParagraph"/>
              <w:spacing w:before="22"/>
              <w:ind w:right="241"/>
              <w:jc w:val="right"/>
              <w:rPr>
                <w:sz w:val="16"/>
              </w:rPr>
            </w:pPr>
            <w:r>
              <w:rPr>
                <w:spacing w:val="-2"/>
                <w:sz w:val="16"/>
              </w:rPr>
              <w:t>2.000.469,98</w:t>
            </w:r>
          </w:p>
        </w:tc>
        <w:tc>
          <w:tcPr>
            <w:tcW w:w="1169" w:type="dxa"/>
            <w:tcBorders>
              <w:top w:val="single" w:sz="8" w:space="0" w:color="000000"/>
            </w:tcBorders>
          </w:tcPr>
          <w:p>
            <w:pPr>
              <w:pStyle w:val="TableParagraph"/>
              <w:spacing w:before="22"/>
              <w:ind w:right="230"/>
              <w:jc w:val="right"/>
              <w:rPr>
                <w:sz w:val="16"/>
              </w:rPr>
            </w:pPr>
            <w:r>
              <w:rPr>
                <w:spacing w:val="-2"/>
                <w:sz w:val="16"/>
              </w:rPr>
              <w:t>-76.637,08</w:t>
            </w:r>
          </w:p>
        </w:tc>
        <w:tc>
          <w:tcPr>
            <w:tcW w:w="1074" w:type="dxa"/>
            <w:tcBorders>
              <w:top w:val="single" w:sz="8" w:space="0" w:color="000000"/>
            </w:tcBorders>
          </w:tcPr>
          <w:p>
            <w:pPr>
              <w:pStyle w:val="TableParagraph"/>
              <w:spacing w:before="22"/>
              <w:ind w:right="68"/>
              <w:jc w:val="right"/>
              <w:rPr>
                <w:sz w:val="16"/>
              </w:rPr>
            </w:pPr>
            <w:r>
              <w:rPr>
                <w:spacing w:val="-2"/>
                <w:sz w:val="16"/>
              </w:rPr>
              <w:t>-281.914,36</w:t>
            </w:r>
          </w:p>
        </w:tc>
      </w:tr>
      <w:tr>
        <w:trPr>
          <w:trHeight w:val="226" w:hRule="atLeast"/>
        </w:trPr>
        <w:tc>
          <w:tcPr>
            <w:tcW w:w="3103" w:type="dxa"/>
          </w:tcPr>
          <w:p>
            <w:pPr>
              <w:pStyle w:val="TableParagraph"/>
              <w:spacing w:before="18"/>
              <w:ind w:left="50"/>
              <w:rPr>
                <w:sz w:val="16"/>
              </w:rPr>
            </w:pPr>
            <w:r>
              <w:rPr>
                <w:sz w:val="16"/>
              </w:rPr>
              <w:t>Impuesto</w:t>
            </w:r>
            <w:r>
              <w:rPr>
                <w:spacing w:val="-4"/>
                <w:sz w:val="16"/>
              </w:rPr>
              <w:t> </w:t>
            </w:r>
            <w:r>
              <w:rPr>
                <w:sz w:val="16"/>
              </w:rPr>
              <w:t>sobre</w:t>
            </w:r>
            <w:r>
              <w:rPr>
                <w:spacing w:val="-5"/>
                <w:sz w:val="16"/>
              </w:rPr>
              <w:t> </w:t>
            </w:r>
            <w:r>
              <w:rPr>
                <w:sz w:val="16"/>
              </w:rPr>
              <w:t>la</w:t>
            </w:r>
            <w:r>
              <w:rPr>
                <w:spacing w:val="-4"/>
                <w:sz w:val="16"/>
              </w:rPr>
              <w:t> </w:t>
            </w:r>
            <w:r>
              <w:rPr>
                <w:sz w:val="16"/>
              </w:rPr>
              <w:t>renta</w:t>
            </w:r>
            <w:r>
              <w:rPr>
                <w:spacing w:val="-5"/>
                <w:sz w:val="16"/>
              </w:rPr>
              <w:t> </w:t>
            </w:r>
            <w:r>
              <w:rPr>
                <w:sz w:val="16"/>
              </w:rPr>
              <w:t>de</w:t>
            </w:r>
            <w:r>
              <w:rPr>
                <w:spacing w:val="-5"/>
                <w:sz w:val="16"/>
              </w:rPr>
              <w:t> </w:t>
            </w:r>
            <w:r>
              <w:rPr>
                <w:sz w:val="16"/>
              </w:rPr>
              <w:t>las</w:t>
            </w:r>
            <w:r>
              <w:rPr>
                <w:spacing w:val="-4"/>
                <w:sz w:val="16"/>
              </w:rPr>
              <w:t> </w:t>
            </w:r>
            <w:r>
              <w:rPr>
                <w:sz w:val="16"/>
              </w:rPr>
              <w:t>personas</w:t>
            </w:r>
            <w:r>
              <w:rPr>
                <w:spacing w:val="-5"/>
                <w:sz w:val="16"/>
              </w:rPr>
              <w:t> </w:t>
            </w:r>
            <w:r>
              <w:rPr>
                <w:spacing w:val="-2"/>
                <w:sz w:val="16"/>
              </w:rPr>
              <w:t>físicas</w:t>
            </w:r>
          </w:p>
        </w:tc>
        <w:tc>
          <w:tcPr>
            <w:tcW w:w="1322" w:type="dxa"/>
          </w:tcPr>
          <w:p>
            <w:pPr>
              <w:pStyle w:val="TableParagraph"/>
              <w:spacing w:before="18"/>
              <w:ind w:right="181"/>
              <w:jc w:val="right"/>
              <w:rPr>
                <w:sz w:val="16"/>
              </w:rPr>
            </w:pPr>
            <w:r>
              <w:rPr>
                <w:spacing w:val="-10"/>
                <w:sz w:val="16"/>
              </w:rPr>
              <w:t>-</w:t>
            </w:r>
          </w:p>
        </w:tc>
        <w:tc>
          <w:tcPr>
            <w:tcW w:w="1268" w:type="dxa"/>
          </w:tcPr>
          <w:p>
            <w:pPr>
              <w:pStyle w:val="TableParagraph"/>
              <w:spacing w:before="18"/>
              <w:ind w:right="241"/>
              <w:jc w:val="right"/>
              <w:rPr>
                <w:sz w:val="16"/>
              </w:rPr>
            </w:pPr>
            <w:r>
              <w:rPr>
                <w:spacing w:val="-10"/>
                <w:sz w:val="16"/>
              </w:rPr>
              <w:t>-</w:t>
            </w:r>
          </w:p>
        </w:tc>
        <w:tc>
          <w:tcPr>
            <w:tcW w:w="1169" w:type="dxa"/>
          </w:tcPr>
          <w:p>
            <w:pPr>
              <w:pStyle w:val="TableParagraph"/>
              <w:spacing w:before="18"/>
              <w:ind w:right="230"/>
              <w:jc w:val="right"/>
              <w:rPr>
                <w:sz w:val="16"/>
              </w:rPr>
            </w:pPr>
            <w:r>
              <w:rPr>
                <w:spacing w:val="-2"/>
                <w:sz w:val="16"/>
              </w:rPr>
              <w:t>-6.626,66</w:t>
            </w:r>
          </w:p>
        </w:tc>
        <w:tc>
          <w:tcPr>
            <w:tcW w:w="1074" w:type="dxa"/>
          </w:tcPr>
          <w:p>
            <w:pPr>
              <w:pStyle w:val="TableParagraph"/>
              <w:spacing w:before="18"/>
              <w:ind w:right="68"/>
              <w:jc w:val="right"/>
              <w:rPr>
                <w:sz w:val="16"/>
              </w:rPr>
            </w:pPr>
            <w:r>
              <w:rPr>
                <w:spacing w:val="-2"/>
                <w:sz w:val="16"/>
              </w:rPr>
              <w:t>-6.015,80</w:t>
            </w:r>
          </w:p>
        </w:tc>
      </w:tr>
      <w:tr>
        <w:trPr>
          <w:trHeight w:val="227" w:hRule="atLeast"/>
        </w:trPr>
        <w:tc>
          <w:tcPr>
            <w:tcW w:w="3103" w:type="dxa"/>
          </w:tcPr>
          <w:p>
            <w:pPr>
              <w:pStyle w:val="TableParagraph"/>
              <w:spacing w:before="18"/>
              <w:ind w:left="50"/>
              <w:rPr>
                <w:sz w:val="16"/>
              </w:rPr>
            </w:pPr>
            <w:r>
              <w:rPr>
                <w:sz w:val="16"/>
              </w:rPr>
              <w:t>Organismos</w:t>
            </w:r>
            <w:r>
              <w:rPr>
                <w:spacing w:val="-6"/>
                <w:sz w:val="16"/>
              </w:rPr>
              <w:t> </w:t>
            </w:r>
            <w:r>
              <w:rPr>
                <w:sz w:val="16"/>
              </w:rPr>
              <w:t>de</w:t>
            </w:r>
            <w:r>
              <w:rPr>
                <w:spacing w:val="-6"/>
                <w:sz w:val="16"/>
              </w:rPr>
              <w:t> </w:t>
            </w:r>
            <w:r>
              <w:rPr>
                <w:sz w:val="16"/>
              </w:rPr>
              <w:t>la</w:t>
            </w:r>
            <w:r>
              <w:rPr>
                <w:spacing w:val="-5"/>
                <w:sz w:val="16"/>
              </w:rPr>
              <w:t> </w:t>
            </w:r>
            <w:r>
              <w:rPr>
                <w:sz w:val="16"/>
              </w:rPr>
              <w:t>Seguridad</w:t>
            </w:r>
            <w:r>
              <w:rPr>
                <w:spacing w:val="-5"/>
                <w:sz w:val="16"/>
              </w:rPr>
              <w:t> </w:t>
            </w:r>
            <w:r>
              <w:rPr>
                <w:spacing w:val="-2"/>
                <w:sz w:val="16"/>
              </w:rPr>
              <w:t>Social</w:t>
            </w:r>
          </w:p>
        </w:tc>
        <w:tc>
          <w:tcPr>
            <w:tcW w:w="1322" w:type="dxa"/>
          </w:tcPr>
          <w:p>
            <w:pPr>
              <w:pStyle w:val="TableParagraph"/>
              <w:spacing w:before="18"/>
              <w:ind w:right="181"/>
              <w:jc w:val="right"/>
              <w:rPr>
                <w:sz w:val="16"/>
              </w:rPr>
            </w:pPr>
            <w:r>
              <w:rPr>
                <w:spacing w:val="-10"/>
                <w:sz w:val="16"/>
              </w:rPr>
              <w:t>-</w:t>
            </w:r>
          </w:p>
        </w:tc>
        <w:tc>
          <w:tcPr>
            <w:tcW w:w="1268" w:type="dxa"/>
          </w:tcPr>
          <w:p>
            <w:pPr>
              <w:pStyle w:val="TableParagraph"/>
              <w:spacing w:before="18"/>
              <w:ind w:right="241"/>
              <w:jc w:val="right"/>
              <w:rPr>
                <w:sz w:val="16"/>
              </w:rPr>
            </w:pPr>
            <w:r>
              <w:rPr>
                <w:spacing w:val="-10"/>
                <w:sz w:val="16"/>
              </w:rPr>
              <w:t>-</w:t>
            </w:r>
          </w:p>
        </w:tc>
        <w:tc>
          <w:tcPr>
            <w:tcW w:w="1169" w:type="dxa"/>
          </w:tcPr>
          <w:p>
            <w:pPr>
              <w:pStyle w:val="TableParagraph"/>
              <w:spacing w:before="18"/>
              <w:ind w:right="230"/>
              <w:jc w:val="right"/>
              <w:rPr>
                <w:sz w:val="16"/>
              </w:rPr>
            </w:pPr>
            <w:r>
              <w:rPr>
                <w:spacing w:val="-2"/>
                <w:sz w:val="16"/>
              </w:rPr>
              <w:t>-2.387,76</w:t>
            </w:r>
          </w:p>
        </w:tc>
        <w:tc>
          <w:tcPr>
            <w:tcW w:w="1074" w:type="dxa"/>
          </w:tcPr>
          <w:p>
            <w:pPr>
              <w:pStyle w:val="TableParagraph"/>
              <w:spacing w:before="18"/>
              <w:ind w:right="68"/>
              <w:jc w:val="right"/>
              <w:rPr>
                <w:sz w:val="16"/>
              </w:rPr>
            </w:pPr>
            <w:r>
              <w:rPr>
                <w:spacing w:val="-2"/>
                <w:sz w:val="16"/>
              </w:rPr>
              <w:t>-2.260,88</w:t>
            </w:r>
          </w:p>
        </w:tc>
      </w:tr>
      <w:tr>
        <w:trPr>
          <w:trHeight w:val="223" w:hRule="atLeast"/>
        </w:trPr>
        <w:tc>
          <w:tcPr>
            <w:tcW w:w="3103" w:type="dxa"/>
          </w:tcPr>
          <w:p>
            <w:pPr>
              <w:pStyle w:val="TableParagraph"/>
              <w:spacing w:before="18"/>
              <w:ind w:left="50"/>
              <w:rPr>
                <w:sz w:val="16"/>
              </w:rPr>
            </w:pPr>
            <w:r>
              <w:rPr>
                <w:sz w:val="16"/>
              </w:rPr>
              <w:t>Pasivo</w:t>
            </w:r>
            <w:r>
              <w:rPr>
                <w:spacing w:val="-6"/>
                <w:sz w:val="16"/>
              </w:rPr>
              <w:t> </w:t>
            </w:r>
            <w:r>
              <w:rPr>
                <w:sz w:val="16"/>
              </w:rPr>
              <w:t>por</w:t>
            </w:r>
            <w:r>
              <w:rPr>
                <w:spacing w:val="-6"/>
                <w:sz w:val="16"/>
              </w:rPr>
              <w:t> </w:t>
            </w:r>
            <w:r>
              <w:rPr>
                <w:sz w:val="16"/>
              </w:rPr>
              <w:t>impuesto</w:t>
            </w:r>
            <w:r>
              <w:rPr>
                <w:spacing w:val="-4"/>
                <w:sz w:val="16"/>
              </w:rPr>
              <w:t> </w:t>
            </w:r>
            <w:r>
              <w:rPr>
                <w:sz w:val="16"/>
              </w:rPr>
              <w:t>sociedades</w:t>
            </w:r>
            <w:r>
              <w:rPr>
                <w:spacing w:val="-6"/>
                <w:sz w:val="16"/>
              </w:rPr>
              <w:t> </w:t>
            </w:r>
            <w:r>
              <w:rPr>
                <w:spacing w:val="-2"/>
                <w:sz w:val="16"/>
              </w:rPr>
              <w:t>corriente</w:t>
            </w:r>
          </w:p>
        </w:tc>
        <w:tc>
          <w:tcPr>
            <w:tcW w:w="1322" w:type="dxa"/>
            <w:tcBorders>
              <w:bottom w:val="single" w:sz="8" w:space="0" w:color="000000"/>
            </w:tcBorders>
          </w:tcPr>
          <w:p>
            <w:pPr>
              <w:pStyle w:val="TableParagraph"/>
              <w:spacing w:before="18"/>
              <w:ind w:right="182"/>
              <w:jc w:val="right"/>
              <w:rPr>
                <w:sz w:val="16"/>
              </w:rPr>
            </w:pPr>
            <w:r>
              <w:rPr>
                <w:spacing w:val="-2"/>
                <w:sz w:val="16"/>
              </w:rPr>
              <w:t>81.826,40</w:t>
            </w:r>
          </w:p>
        </w:tc>
        <w:tc>
          <w:tcPr>
            <w:tcW w:w="1268" w:type="dxa"/>
            <w:tcBorders>
              <w:bottom w:val="single" w:sz="8" w:space="0" w:color="000000"/>
            </w:tcBorders>
          </w:tcPr>
          <w:p>
            <w:pPr>
              <w:pStyle w:val="TableParagraph"/>
              <w:spacing w:before="18"/>
              <w:ind w:right="241"/>
              <w:jc w:val="right"/>
              <w:rPr>
                <w:sz w:val="16"/>
              </w:rPr>
            </w:pPr>
            <w:r>
              <w:rPr>
                <w:spacing w:val="-10"/>
                <w:sz w:val="16"/>
              </w:rPr>
              <w:t>-</w:t>
            </w:r>
          </w:p>
        </w:tc>
        <w:tc>
          <w:tcPr>
            <w:tcW w:w="1169" w:type="dxa"/>
            <w:tcBorders>
              <w:bottom w:val="single" w:sz="8" w:space="0" w:color="000000"/>
            </w:tcBorders>
          </w:tcPr>
          <w:p>
            <w:pPr>
              <w:pStyle w:val="TableParagraph"/>
              <w:spacing w:before="18"/>
              <w:ind w:right="229"/>
              <w:jc w:val="right"/>
              <w:rPr>
                <w:sz w:val="16"/>
              </w:rPr>
            </w:pPr>
            <w:r>
              <w:rPr>
                <w:spacing w:val="-4"/>
                <w:sz w:val="16"/>
              </w:rPr>
              <w:t>0,00</w:t>
            </w:r>
          </w:p>
        </w:tc>
        <w:tc>
          <w:tcPr>
            <w:tcW w:w="1074" w:type="dxa"/>
            <w:tcBorders>
              <w:bottom w:val="single" w:sz="8" w:space="0" w:color="000000"/>
            </w:tcBorders>
          </w:tcPr>
          <w:p>
            <w:pPr>
              <w:pStyle w:val="TableParagraph"/>
              <w:spacing w:before="18"/>
              <w:ind w:right="68"/>
              <w:jc w:val="right"/>
              <w:rPr>
                <w:sz w:val="16"/>
              </w:rPr>
            </w:pPr>
            <w:r>
              <w:rPr>
                <w:spacing w:val="-2"/>
                <w:sz w:val="16"/>
              </w:rPr>
              <w:t>-60.297,68</w:t>
            </w:r>
          </w:p>
        </w:tc>
      </w:tr>
      <w:tr>
        <w:trPr>
          <w:trHeight w:val="204" w:hRule="atLeast"/>
        </w:trPr>
        <w:tc>
          <w:tcPr>
            <w:tcW w:w="3103" w:type="dxa"/>
          </w:tcPr>
          <w:p>
            <w:pPr>
              <w:pStyle w:val="TableParagraph"/>
              <w:spacing w:line="164" w:lineRule="exact" w:before="20"/>
              <w:ind w:right="20"/>
              <w:jc w:val="center"/>
              <w:rPr>
                <w:b/>
                <w:sz w:val="16"/>
              </w:rPr>
            </w:pPr>
            <w:r>
              <w:rPr>
                <w:b/>
                <w:spacing w:val="-2"/>
                <w:sz w:val="16"/>
              </w:rPr>
              <w:t>Total:</w:t>
            </w:r>
          </w:p>
        </w:tc>
        <w:tc>
          <w:tcPr>
            <w:tcW w:w="1322" w:type="dxa"/>
            <w:tcBorders>
              <w:top w:val="single" w:sz="8" w:space="0" w:color="000000"/>
            </w:tcBorders>
          </w:tcPr>
          <w:p>
            <w:pPr>
              <w:pStyle w:val="TableParagraph"/>
              <w:spacing w:line="164" w:lineRule="exact" w:before="20"/>
              <w:ind w:right="182"/>
              <w:jc w:val="right"/>
              <w:rPr>
                <w:b/>
                <w:sz w:val="16"/>
              </w:rPr>
            </w:pPr>
            <w:r>
              <w:rPr>
                <w:b/>
                <w:spacing w:val="-2"/>
                <w:sz w:val="16"/>
              </w:rPr>
              <w:t>3.531.933,71</w:t>
            </w:r>
          </w:p>
        </w:tc>
        <w:tc>
          <w:tcPr>
            <w:tcW w:w="1268" w:type="dxa"/>
            <w:tcBorders>
              <w:top w:val="single" w:sz="8" w:space="0" w:color="000000"/>
            </w:tcBorders>
          </w:tcPr>
          <w:p>
            <w:pPr>
              <w:pStyle w:val="TableParagraph"/>
              <w:spacing w:line="164" w:lineRule="exact" w:before="20"/>
              <w:ind w:right="241"/>
              <w:jc w:val="right"/>
              <w:rPr>
                <w:b/>
                <w:sz w:val="16"/>
              </w:rPr>
            </w:pPr>
            <w:r>
              <w:rPr>
                <w:b/>
                <w:spacing w:val="-2"/>
                <w:sz w:val="16"/>
              </w:rPr>
              <w:t>2.000.469,98</w:t>
            </w:r>
          </w:p>
        </w:tc>
        <w:tc>
          <w:tcPr>
            <w:tcW w:w="1169" w:type="dxa"/>
            <w:tcBorders>
              <w:top w:val="single" w:sz="8" w:space="0" w:color="000000"/>
            </w:tcBorders>
          </w:tcPr>
          <w:p>
            <w:pPr>
              <w:pStyle w:val="TableParagraph"/>
              <w:spacing w:line="164" w:lineRule="exact" w:before="20"/>
              <w:ind w:right="230"/>
              <w:jc w:val="right"/>
              <w:rPr>
                <w:b/>
                <w:sz w:val="16"/>
              </w:rPr>
            </w:pPr>
            <w:r>
              <w:rPr>
                <w:b/>
                <w:spacing w:val="-2"/>
                <w:sz w:val="16"/>
              </w:rPr>
              <w:t>-85.651,50</w:t>
            </w:r>
          </w:p>
        </w:tc>
        <w:tc>
          <w:tcPr>
            <w:tcW w:w="1074" w:type="dxa"/>
            <w:tcBorders>
              <w:top w:val="single" w:sz="8" w:space="0" w:color="000000"/>
            </w:tcBorders>
          </w:tcPr>
          <w:p>
            <w:pPr>
              <w:pStyle w:val="TableParagraph"/>
              <w:spacing w:line="164" w:lineRule="exact" w:before="20"/>
              <w:ind w:right="68"/>
              <w:jc w:val="right"/>
              <w:rPr>
                <w:b/>
                <w:sz w:val="16"/>
              </w:rPr>
            </w:pPr>
            <w:r>
              <w:rPr>
                <w:b/>
                <w:spacing w:val="-2"/>
                <w:sz w:val="16"/>
              </w:rPr>
              <w:t>-350.488,72</w:t>
            </w:r>
          </w:p>
        </w:tc>
      </w:tr>
    </w:tbl>
    <w:p>
      <w:pPr>
        <w:pStyle w:val="BodyText"/>
        <w:spacing w:before="99"/>
        <w:rPr>
          <w:b/>
          <w:sz w:val="16"/>
        </w:rPr>
      </w:pPr>
    </w:p>
    <w:p>
      <w:pPr>
        <w:pStyle w:val="BodyText"/>
        <w:spacing w:line="244" w:lineRule="auto"/>
        <w:ind w:left="995" w:right="794"/>
      </w:pPr>
      <w:r>
        <w:rPr/>
        <w:t>La</w:t>
      </w:r>
      <w:r>
        <w:rPr>
          <w:spacing w:val="-3"/>
        </w:rPr>
        <w:t> </w:t>
      </w:r>
      <w:r>
        <w:rPr/>
        <w:t>conciliación</w:t>
      </w:r>
      <w:r>
        <w:rPr>
          <w:spacing w:val="-2"/>
        </w:rPr>
        <w:t> </w:t>
      </w:r>
      <w:r>
        <w:rPr/>
        <w:t>del</w:t>
      </w:r>
      <w:r>
        <w:rPr>
          <w:spacing w:val="-3"/>
        </w:rPr>
        <w:t> </w:t>
      </w:r>
      <w:r>
        <w:rPr/>
        <w:t>importe</w:t>
      </w:r>
      <w:r>
        <w:rPr>
          <w:spacing w:val="-3"/>
        </w:rPr>
        <w:t> </w:t>
      </w:r>
      <w:r>
        <w:rPr/>
        <w:t>neto</w:t>
      </w:r>
      <w:r>
        <w:rPr>
          <w:spacing w:val="-2"/>
        </w:rPr>
        <w:t> </w:t>
      </w:r>
      <w:r>
        <w:rPr/>
        <w:t>de</w:t>
      </w:r>
      <w:r>
        <w:rPr>
          <w:spacing w:val="-3"/>
        </w:rPr>
        <w:t> </w:t>
      </w:r>
      <w:r>
        <w:rPr/>
        <w:t>ingresos</w:t>
      </w:r>
      <w:r>
        <w:rPr>
          <w:spacing w:val="-3"/>
        </w:rPr>
        <w:t> </w:t>
      </w:r>
      <w:r>
        <w:rPr/>
        <w:t>y</w:t>
      </w:r>
      <w:r>
        <w:rPr>
          <w:spacing w:val="-2"/>
        </w:rPr>
        <w:t> </w:t>
      </w:r>
      <w:r>
        <w:rPr/>
        <w:t>gastos</w:t>
      </w:r>
      <w:r>
        <w:rPr>
          <w:spacing w:val="-3"/>
        </w:rPr>
        <w:t> </w:t>
      </w:r>
      <w:r>
        <w:rPr/>
        <w:t>del</w:t>
      </w:r>
      <w:r>
        <w:rPr>
          <w:spacing w:val="-3"/>
        </w:rPr>
        <w:t> </w:t>
      </w:r>
      <w:r>
        <w:rPr/>
        <w:t>ejercicio</w:t>
      </w:r>
      <w:r>
        <w:rPr>
          <w:spacing w:val="-1"/>
        </w:rPr>
        <w:t> </w:t>
      </w:r>
      <w:r>
        <w:rPr/>
        <w:t>2025</w:t>
      </w:r>
      <w:r>
        <w:rPr>
          <w:spacing w:val="-3"/>
        </w:rPr>
        <w:t> </w:t>
      </w:r>
      <w:r>
        <w:rPr/>
        <w:t>y 2024</w:t>
      </w:r>
      <w:r>
        <w:rPr>
          <w:spacing w:val="-3"/>
        </w:rPr>
        <w:t> </w:t>
      </w:r>
      <w:r>
        <w:rPr/>
        <w:t>con</w:t>
      </w:r>
      <w:r>
        <w:rPr>
          <w:spacing w:val="-2"/>
        </w:rPr>
        <w:t> </w:t>
      </w:r>
      <w:r>
        <w:rPr/>
        <w:t>la</w:t>
      </w:r>
      <w:r>
        <w:rPr>
          <w:spacing w:val="-3"/>
        </w:rPr>
        <w:t> </w:t>
      </w:r>
      <w:r>
        <w:rPr/>
        <w:t>base</w:t>
      </w:r>
      <w:r>
        <w:rPr>
          <w:spacing w:val="-3"/>
        </w:rPr>
        <w:t> </w:t>
      </w:r>
      <w:r>
        <w:rPr/>
        <w:t>imponible del Impuesto Sobre Sociedades (resultado fiscal), es la siguiente:</w:t>
      </w:r>
    </w:p>
    <w:p>
      <w:pPr>
        <w:pStyle w:val="BodyText"/>
        <w:rPr>
          <w:sz w:val="20"/>
        </w:rPr>
      </w:pPr>
    </w:p>
    <w:p>
      <w:pPr>
        <w:pStyle w:val="BodyText"/>
        <w:spacing w:before="196"/>
        <w:rPr>
          <w:sz w:val="20"/>
        </w:rPr>
      </w:pP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37"/>
        <w:gridCol w:w="1319"/>
        <w:gridCol w:w="1192"/>
        <w:gridCol w:w="1065"/>
      </w:tblGrid>
      <w:tr>
        <w:trPr>
          <w:trHeight w:val="395" w:hRule="atLeast"/>
        </w:trPr>
        <w:tc>
          <w:tcPr>
            <w:tcW w:w="4056" w:type="dxa"/>
            <w:gridSpan w:val="2"/>
          </w:tcPr>
          <w:p>
            <w:pPr>
              <w:pStyle w:val="TableParagraph"/>
              <w:spacing w:line="177" w:lineRule="exact"/>
              <w:ind w:left="200"/>
              <w:rPr>
                <w:b/>
                <w:sz w:val="16"/>
              </w:rPr>
            </w:pPr>
            <w:r>
              <w:rPr>
                <w:b/>
                <w:sz w:val="16"/>
              </w:rPr>
              <w:t>Conciliación</w:t>
            </w:r>
            <w:r>
              <w:rPr>
                <w:b/>
                <w:spacing w:val="-6"/>
                <w:sz w:val="16"/>
              </w:rPr>
              <w:t> </w:t>
            </w:r>
            <w:r>
              <w:rPr>
                <w:b/>
                <w:sz w:val="16"/>
              </w:rPr>
              <w:t>del</w:t>
            </w:r>
            <w:r>
              <w:rPr>
                <w:b/>
                <w:spacing w:val="-5"/>
                <w:sz w:val="16"/>
              </w:rPr>
              <w:t> </w:t>
            </w:r>
            <w:r>
              <w:rPr>
                <w:b/>
                <w:sz w:val="16"/>
              </w:rPr>
              <w:t>resultado</w:t>
            </w:r>
            <w:r>
              <w:rPr>
                <w:b/>
                <w:spacing w:val="-5"/>
                <w:sz w:val="16"/>
              </w:rPr>
              <w:t> </w:t>
            </w:r>
            <w:r>
              <w:rPr>
                <w:b/>
                <w:sz w:val="16"/>
              </w:rPr>
              <w:t>con</w:t>
            </w:r>
            <w:r>
              <w:rPr>
                <w:b/>
                <w:spacing w:val="-5"/>
                <w:sz w:val="16"/>
              </w:rPr>
              <w:t> </w:t>
            </w:r>
            <w:r>
              <w:rPr>
                <w:b/>
                <w:sz w:val="16"/>
              </w:rPr>
              <w:t>la</w:t>
            </w:r>
            <w:r>
              <w:rPr>
                <w:b/>
                <w:spacing w:val="-5"/>
                <w:sz w:val="16"/>
              </w:rPr>
              <w:t> </w:t>
            </w:r>
            <w:r>
              <w:rPr>
                <w:b/>
                <w:sz w:val="16"/>
              </w:rPr>
              <w:t>base</w:t>
            </w:r>
            <w:r>
              <w:rPr>
                <w:b/>
                <w:spacing w:val="-6"/>
                <w:sz w:val="16"/>
              </w:rPr>
              <w:t> </w:t>
            </w:r>
            <w:r>
              <w:rPr>
                <w:b/>
                <w:sz w:val="16"/>
              </w:rPr>
              <w:t>imponible</w:t>
            </w:r>
            <w:r>
              <w:rPr>
                <w:b/>
                <w:spacing w:val="-5"/>
                <w:sz w:val="16"/>
              </w:rPr>
              <w:t> del</w:t>
            </w:r>
          </w:p>
          <w:p>
            <w:pPr>
              <w:pStyle w:val="TableParagraph"/>
              <w:tabs>
                <w:tab w:pos="3955" w:val="left" w:leader="none"/>
                <w:tab w:pos="6370" w:val="left" w:leader="none"/>
              </w:tabs>
              <w:ind w:left="1073" w:right="-2319"/>
              <w:rPr>
                <w:b/>
                <w:sz w:val="16"/>
              </w:rPr>
            </w:pPr>
            <w:r>
              <w:rPr>
                <w:b/>
                <w:sz w:val="16"/>
              </w:rPr>
              <w:t>Impuesto</w:t>
            </w:r>
            <w:r>
              <w:rPr>
                <w:b/>
                <w:spacing w:val="-6"/>
                <w:sz w:val="16"/>
              </w:rPr>
              <w:t> </w:t>
            </w:r>
            <w:r>
              <w:rPr>
                <w:b/>
                <w:sz w:val="16"/>
              </w:rPr>
              <w:t>sobre</w:t>
            </w:r>
            <w:r>
              <w:rPr>
                <w:b/>
                <w:spacing w:val="-6"/>
                <w:sz w:val="16"/>
              </w:rPr>
              <w:t> </w:t>
            </w:r>
            <w:r>
              <w:rPr>
                <w:b/>
                <w:spacing w:val="-2"/>
                <w:sz w:val="16"/>
              </w:rPr>
              <w:t>Beneficios</w:t>
            </w:r>
            <w:r>
              <w:rPr>
                <w:b/>
                <w:sz w:val="16"/>
              </w:rPr>
              <w:tab/>
            </w:r>
            <w:r>
              <w:rPr>
                <w:b/>
                <w:sz w:val="16"/>
                <w:u w:val="single"/>
              </w:rPr>
              <w:tab/>
            </w:r>
          </w:p>
        </w:tc>
        <w:tc>
          <w:tcPr>
            <w:tcW w:w="1192" w:type="dxa"/>
          </w:tcPr>
          <w:p>
            <w:pPr>
              <w:pStyle w:val="TableParagraph"/>
              <w:spacing w:before="18"/>
              <w:ind w:left="333"/>
              <w:rPr>
                <w:b/>
                <w:sz w:val="16"/>
              </w:rPr>
            </w:pPr>
            <w:r>
              <w:rPr>
                <w:b/>
                <w:spacing w:val="-4"/>
                <w:sz w:val="16"/>
              </w:rPr>
              <w:t>2025</w:t>
            </w:r>
          </w:p>
        </w:tc>
        <w:tc>
          <w:tcPr>
            <w:tcW w:w="1065" w:type="dxa"/>
          </w:tcPr>
          <w:p>
            <w:pPr>
              <w:pStyle w:val="TableParagraph"/>
              <w:spacing w:before="18"/>
              <w:ind w:left="331"/>
              <w:rPr>
                <w:b/>
                <w:sz w:val="16"/>
              </w:rPr>
            </w:pPr>
            <w:r>
              <w:rPr>
                <w:b/>
                <w:spacing w:val="-4"/>
                <w:sz w:val="16"/>
              </w:rPr>
              <w:t>2024</w:t>
            </w:r>
          </w:p>
        </w:tc>
      </w:tr>
      <w:tr>
        <w:trPr>
          <w:trHeight w:val="237" w:hRule="atLeast"/>
        </w:trPr>
        <w:tc>
          <w:tcPr>
            <w:tcW w:w="4056" w:type="dxa"/>
            <w:gridSpan w:val="2"/>
          </w:tcPr>
          <w:p>
            <w:pPr>
              <w:pStyle w:val="TableParagraph"/>
              <w:spacing w:before="28"/>
              <w:ind w:left="50"/>
              <w:rPr>
                <w:sz w:val="16"/>
              </w:rPr>
            </w:pPr>
            <w:r>
              <w:rPr>
                <w:sz w:val="16"/>
              </w:rPr>
              <w:t>Resultado</w:t>
            </w:r>
            <w:r>
              <w:rPr>
                <w:spacing w:val="-6"/>
                <w:sz w:val="16"/>
              </w:rPr>
              <w:t> </w:t>
            </w:r>
            <w:r>
              <w:rPr>
                <w:sz w:val="16"/>
              </w:rPr>
              <w:t>contable</w:t>
            </w:r>
            <w:r>
              <w:rPr>
                <w:spacing w:val="-8"/>
                <w:sz w:val="16"/>
              </w:rPr>
              <w:t> </w:t>
            </w:r>
            <w:r>
              <w:rPr>
                <w:sz w:val="16"/>
              </w:rPr>
              <w:t>antes</w:t>
            </w:r>
            <w:r>
              <w:rPr>
                <w:spacing w:val="-5"/>
                <w:sz w:val="16"/>
              </w:rPr>
              <w:t> </w:t>
            </w:r>
            <w:r>
              <w:rPr>
                <w:sz w:val="16"/>
              </w:rPr>
              <w:t>de</w:t>
            </w:r>
            <w:r>
              <w:rPr>
                <w:spacing w:val="-7"/>
                <w:sz w:val="16"/>
              </w:rPr>
              <w:t> </w:t>
            </w:r>
            <w:r>
              <w:rPr>
                <w:spacing w:val="-2"/>
                <w:sz w:val="16"/>
              </w:rPr>
              <w:t>impuestos</w:t>
            </w:r>
          </w:p>
        </w:tc>
        <w:tc>
          <w:tcPr>
            <w:tcW w:w="1192" w:type="dxa"/>
          </w:tcPr>
          <w:p>
            <w:pPr>
              <w:pStyle w:val="TableParagraph"/>
              <w:spacing w:before="28"/>
              <w:ind w:left="298"/>
              <w:rPr>
                <w:sz w:val="16"/>
              </w:rPr>
            </w:pPr>
            <w:r>
              <w:rPr>
                <w:spacing w:val="-2"/>
                <w:sz w:val="16"/>
              </w:rPr>
              <w:t>916.167,78</w:t>
            </w:r>
          </w:p>
        </w:tc>
        <w:tc>
          <w:tcPr>
            <w:tcW w:w="1065" w:type="dxa"/>
          </w:tcPr>
          <w:p>
            <w:pPr>
              <w:pStyle w:val="TableParagraph"/>
              <w:spacing w:before="28"/>
              <w:ind w:right="46"/>
              <w:jc w:val="right"/>
              <w:rPr>
                <w:sz w:val="16"/>
              </w:rPr>
            </w:pPr>
            <w:r>
              <w:rPr>
                <w:spacing w:val="-2"/>
                <w:sz w:val="16"/>
              </w:rPr>
              <w:t>1.462.375,14</w:t>
            </w:r>
          </w:p>
        </w:tc>
      </w:tr>
      <w:tr>
        <w:trPr>
          <w:trHeight w:val="227" w:hRule="atLeast"/>
        </w:trPr>
        <w:tc>
          <w:tcPr>
            <w:tcW w:w="2737" w:type="dxa"/>
          </w:tcPr>
          <w:p>
            <w:pPr>
              <w:pStyle w:val="TableParagraph"/>
              <w:spacing w:before="18"/>
              <w:ind w:left="50"/>
              <w:rPr>
                <w:sz w:val="16"/>
              </w:rPr>
            </w:pPr>
            <w:r>
              <w:rPr>
                <w:spacing w:val="-2"/>
                <w:sz w:val="16"/>
              </w:rPr>
              <w:t>Diferencias</w:t>
            </w:r>
            <w:r>
              <w:rPr>
                <w:spacing w:val="11"/>
                <w:sz w:val="16"/>
              </w:rPr>
              <w:t> </w:t>
            </w:r>
            <w:r>
              <w:rPr>
                <w:spacing w:val="-2"/>
                <w:sz w:val="16"/>
              </w:rPr>
              <w:t>permanentes</w:t>
            </w:r>
          </w:p>
        </w:tc>
        <w:tc>
          <w:tcPr>
            <w:tcW w:w="1319" w:type="dxa"/>
          </w:tcPr>
          <w:p>
            <w:pPr>
              <w:pStyle w:val="TableParagraph"/>
              <w:spacing w:before="18"/>
              <w:ind w:left="334"/>
              <w:rPr>
                <w:sz w:val="16"/>
              </w:rPr>
            </w:pPr>
            <w:r>
              <w:rPr>
                <w:spacing w:val="-5"/>
                <w:sz w:val="16"/>
              </w:rPr>
              <w:t>(1)</w:t>
            </w:r>
          </w:p>
        </w:tc>
        <w:tc>
          <w:tcPr>
            <w:tcW w:w="1192" w:type="dxa"/>
          </w:tcPr>
          <w:p>
            <w:pPr>
              <w:pStyle w:val="TableParagraph"/>
              <w:spacing w:before="18"/>
              <w:ind w:left="178"/>
              <w:rPr>
                <w:sz w:val="16"/>
              </w:rPr>
            </w:pPr>
            <w:r>
              <w:rPr>
                <w:spacing w:val="-2"/>
                <w:sz w:val="16"/>
              </w:rPr>
              <w:t>1.060.489,00</w:t>
            </w:r>
          </w:p>
        </w:tc>
        <w:tc>
          <w:tcPr>
            <w:tcW w:w="1065" w:type="dxa"/>
          </w:tcPr>
          <w:p>
            <w:pPr>
              <w:pStyle w:val="TableParagraph"/>
              <w:spacing w:before="18"/>
              <w:ind w:right="46"/>
              <w:jc w:val="right"/>
              <w:rPr>
                <w:sz w:val="16"/>
              </w:rPr>
            </w:pPr>
            <w:r>
              <w:rPr>
                <w:spacing w:val="-2"/>
                <w:sz w:val="16"/>
              </w:rPr>
              <w:t>406.972,00</w:t>
            </w:r>
          </w:p>
        </w:tc>
      </w:tr>
      <w:tr>
        <w:trPr>
          <w:trHeight w:val="226" w:hRule="atLeast"/>
        </w:trPr>
        <w:tc>
          <w:tcPr>
            <w:tcW w:w="2737" w:type="dxa"/>
          </w:tcPr>
          <w:p>
            <w:pPr>
              <w:pStyle w:val="TableParagraph"/>
              <w:spacing w:before="18"/>
              <w:ind w:left="50"/>
              <w:rPr>
                <w:sz w:val="16"/>
              </w:rPr>
            </w:pPr>
            <w:r>
              <w:rPr>
                <w:spacing w:val="-2"/>
                <w:sz w:val="16"/>
              </w:rPr>
              <w:t>Diferencias</w:t>
            </w:r>
            <w:r>
              <w:rPr>
                <w:spacing w:val="11"/>
                <w:sz w:val="16"/>
              </w:rPr>
              <w:t> </w:t>
            </w:r>
            <w:r>
              <w:rPr>
                <w:spacing w:val="-2"/>
                <w:sz w:val="16"/>
              </w:rPr>
              <w:t>temporales</w:t>
            </w:r>
          </w:p>
        </w:tc>
        <w:tc>
          <w:tcPr>
            <w:tcW w:w="1319" w:type="dxa"/>
          </w:tcPr>
          <w:p>
            <w:pPr>
              <w:pStyle w:val="TableParagraph"/>
              <w:spacing w:before="18"/>
              <w:ind w:left="348"/>
              <w:rPr>
                <w:sz w:val="16"/>
              </w:rPr>
            </w:pPr>
            <w:r>
              <w:rPr>
                <w:spacing w:val="-5"/>
                <w:sz w:val="16"/>
              </w:rPr>
              <w:t>(2)</w:t>
            </w:r>
          </w:p>
        </w:tc>
        <w:tc>
          <w:tcPr>
            <w:tcW w:w="1192" w:type="dxa"/>
          </w:tcPr>
          <w:p>
            <w:pPr>
              <w:pStyle w:val="TableParagraph"/>
              <w:rPr>
                <w:sz w:val="16"/>
              </w:rPr>
            </w:pPr>
          </w:p>
        </w:tc>
        <w:tc>
          <w:tcPr>
            <w:tcW w:w="1065" w:type="dxa"/>
          </w:tcPr>
          <w:p>
            <w:pPr>
              <w:pStyle w:val="TableParagraph"/>
              <w:rPr>
                <w:sz w:val="16"/>
              </w:rPr>
            </w:pPr>
          </w:p>
        </w:tc>
      </w:tr>
      <w:tr>
        <w:trPr>
          <w:trHeight w:val="236" w:hRule="atLeast"/>
        </w:trPr>
        <w:tc>
          <w:tcPr>
            <w:tcW w:w="4056" w:type="dxa"/>
            <w:gridSpan w:val="2"/>
          </w:tcPr>
          <w:p>
            <w:pPr>
              <w:pStyle w:val="TableParagraph"/>
              <w:tabs>
                <w:tab w:pos="3955" w:val="left" w:leader="none"/>
                <w:tab w:pos="4234" w:val="left" w:leader="none"/>
              </w:tabs>
              <w:spacing w:before="18"/>
              <w:ind w:left="50" w:right="-188"/>
              <w:rPr>
                <w:b/>
                <w:sz w:val="16"/>
              </w:rPr>
            </w:pPr>
            <w:r>
              <w:rPr>
                <w:b/>
                <w:sz w:val="16"/>
              </w:rPr>
              <w:t>Base</w:t>
            </w:r>
            <w:r>
              <w:rPr>
                <w:b/>
                <w:spacing w:val="-7"/>
                <w:sz w:val="16"/>
              </w:rPr>
              <w:t> </w:t>
            </w:r>
            <w:r>
              <w:rPr>
                <w:b/>
                <w:sz w:val="16"/>
              </w:rPr>
              <w:t>imponible</w:t>
            </w:r>
            <w:r>
              <w:rPr>
                <w:b/>
                <w:spacing w:val="-6"/>
                <w:sz w:val="16"/>
              </w:rPr>
              <w:t> </w:t>
            </w:r>
            <w:r>
              <w:rPr>
                <w:b/>
                <w:spacing w:val="-2"/>
                <w:sz w:val="16"/>
              </w:rPr>
              <w:t>previa</w:t>
            </w:r>
            <w:r>
              <w:rPr>
                <w:b/>
                <w:sz w:val="16"/>
              </w:rPr>
              <w:tab/>
            </w:r>
            <w:r>
              <w:rPr>
                <w:b/>
                <w:sz w:val="16"/>
                <w:u w:val="single"/>
              </w:rPr>
              <w:tab/>
            </w:r>
          </w:p>
        </w:tc>
        <w:tc>
          <w:tcPr>
            <w:tcW w:w="1192" w:type="dxa"/>
          </w:tcPr>
          <w:p>
            <w:pPr>
              <w:pStyle w:val="TableParagraph"/>
              <w:tabs>
                <w:tab w:pos="1189" w:val="left" w:leader="none"/>
              </w:tabs>
              <w:spacing w:before="18"/>
              <w:ind w:right="-188"/>
              <w:jc w:val="right"/>
              <w:rPr>
                <w:b/>
                <w:sz w:val="16"/>
              </w:rPr>
            </w:pPr>
            <w:r>
              <w:rPr>
                <w:b/>
                <w:spacing w:val="-2"/>
                <w:sz w:val="16"/>
                <w:u w:val="single"/>
              </w:rPr>
              <w:t>1.976.656,78</w:t>
            </w:r>
            <w:r>
              <w:rPr>
                <w:b/>
                <w:sz w:val="16"/>
                <w:u w:val="single"/>
              </w:rPr>
              <w:tab/>
            </w:r>
          </w:p>
        </w:tc>
        <w:tc>
          <w:tcPr>
            <w:tcW w:w="1065" w:type="dxa"/>
          </w:tcPr>
          <w:p>
            <w:pPr>
              <w:pStyle w:val="TableParagraph"/>
              <w:spacing w:before="18"/>
              <w:ind w:right="-29"/>
              <w:jc w:val="right"/>
              <w:rPr>
                <w:b/>
                <w:sz w:val="16"/>
              </w:rPr>
            </w:pPr>
            <w:r>
              <w:rPr>
                <w:b/>
                <w:spacing w:val="-2"/>
                <w:sz w:val="16"/>
                <w:u w:val="single"/>
              </w:rPr>
              <w:t>1.869.347,14</w:t>
            </w:r>
            <w:r>
              <w:rPr>
                <w:b/>
                <w:spacing w:val="80"/>
                <w:sz w:val="16"/>
                <w:u w:val="single"/>
              </w:rPr>
              <w:t> </w:t>
            </w:r>
          </w:p>
        </w:tc>
      </w:tr>
      <w:tr>
        <w:trPr>
          <w:trHeight w:val="236" w:hRule="atLeast"/>
        </w:trPr>
        <w:tc>
          <w:tcPr>
            <w:tcW w:w="2737" w:type="dxa"/>
          </w:tcPr>
          <w:p>
            <w:pPr>
              <w:pStyle w:val="TableParagraph"/>
              <w:spacing w:before="28"/>
              <w:ind w:left="50"/>
              <w:rPr>
                <w:sz w:val="16"/>
              </w:rPr>
            </w:pPr>
            <w:r>
              <w:rPr>
                <w:sz w:val="16"/>
              </w:rPr>
              <w:t>Compensación</w:t>
            </w:r>
            <w:r>
              <w:rPr>
                <w:spacing w:val="-7"/>
                <w:sz w:val="16"/>
              </w:rPr>
              <w:t> </w:t>
            </w:r>
            <w:r>
              <w:rPr>
                <w:sz w:val="16"/>
              </w:rPr>
              <w:t>de</w:t>
            </w:r>
            <w:r>
              <w:rPr>
                <w:spacing w:val="-7"/>
                <w:sz w:val="16"/>
              </w:rPr>
              <w:t> </w:t>
            </w:r>
            <w:r>
              <w:rPr>
                <w:sz w:val="16"/>
              </w:rPr>
              <w:t>pérdidas</w:t>
            </w:r>
            <w:r>
              <w:rPr>
                <w:spacing w:val="-7"/>
                <w:sz w:val="16"/>
              </w:rPr>
              <w:t> </w:t>
            </w:r>
            <w:r>
              <w:rPr>
                <w:spacing w:val="-2"/>
                <w:sz w:val="16"/>
              </w:rPr>
              <w:t>anteriores</w:t>
            </w:r>
          </w:p>
        </w:tc>
        <w:tc>
          <w:tcPr>
            <w:tcW w:w="1319" w:type="dxa"/>
          </w:tcPr>
          <w:p>
            <w:pPr>
              <w:pStyle w:val="TableParagraph"/>
              <w:spacing w:before="28"/>
              <w:ind w:left="304"/>
              <w:rPr>
                <w:sz w:val="16"/>
              </w:rPr>
            </w:pPr>
            <w:r>
              <w:rPr>
                <w:spacing w:val="-5"/>
                <w:sz w:val="16"/>
              </w:rPr>
              <w:t>(3)</w:t>
            </w:r>
          </w:p>
        </w:tc>
        <w:tc>
          <w:tcPr>
            <w:tcW w:w="1192" w:type="dxa"/>
          </w:tcPr>
          <w:p>
            <w:pPr>
              <w:pStyle w:val="TableParagraph"/>
              <w:rPr>
                <w:sz w:val="16"/>
              </w:rPr>
            </w:pPr>
          </w:p>
        </w:tc>
        <w:tc>
          <w:tcPr>
            <w:tcW w:w="1065" w:type="dxa"/>
          </w:tcPr>
          <w:p>
            <w:pPr>
              <w:pStyle w:val="TableParagraph"/>
              <w:rPr>
                <w:sz w:val="16"/>
              </w:rPr>
            </w:pPr>
          </w:p>
        </w:tc>
      </w:tr>
      <w:tr>
        <w:trPr>
          <w:trHeight w:val="227" w:hRule="atLeast"/>
        </w:trPr>
        <w:tc>
          <w:tcPr>
            <w:tcW w:w="2737" w:type="dxa"/>
          </w:tcPr>
          <w:p>
            <w:pPr>
              <w:pStyle w:val="TableParagraph"/>
              <w:spacing w:before="18"/>
              <w:ind w:left="50"/>
              <w:rPr>
                <w:sz w:val="16"/>
              </w:rPr>
            </w:pPr>
            <w:r>
              <w:rPr>
                <w:sz w:val="16"/>
              </w:rPr>
              <w:t>Reserva</w:t>
            </w:r>
            <w:r>
              <w:rPr>
                <w:spacing w:val="-6"/>
                <w:sz w:val="16"/>
              </w:rPr>
              <w:t> </w:t>
            </w:r>
            <w:r>
              <w:rPr>
                <w:sz w:val="16"/>
              </w:rPr>
              <w:t>de</w:t>
            </w:r>
            <w:r>
              <w:rPr>
                <w:spacing w:val="-5"/>
                <w:sz w:val="16"/>
              </w:rPr>
              <w:t> </w:t>
            </w:r>
            <w:r>
              <w:rPr>
                <w:spacing w:val="-2"/>
                <w:sz w:val="16"/>
              </w:rPr>
              <w:t>capitalización</w:t>
            </w:r>
          </w:p>
        </w:tc>
        <w:tc>
          <w:tcPr>
            <w:tcW w:w="1319" w:type="dxa"/>
          </w:tcPr>
          <w:p>
            <w:pPr>
              <w:pStyle w:val="TableParagraph"/>
              <w:spacing w:before="18"/>
              <w:ind w:left="305"/>
              <w:rPr>
                <w:sz w:val="16"/>
              </w:rPr>
            </w:pPr>
            <w:r>
              <w:rPr>
                <w:spacing w:val="-5"/>
                <w:sz w:val="16"/>
              </w:rPr>
              <w:t>(4)</w:t>
            </w:r>
          </w:p>
        </w:tc>
        <w:tc>
          <w:tcPr>
            <w:tcW w:w="1192" w:type="dxa"/>
          </w:tcPr>
          <w:p>
            <w:pPr>
              <w:pStyle w:val="TableParagraph"/>
              <w:spacing w:before="18"/>
              <w:ind w:left="246"/>
              <w:rPr>
                <w:sz w:val="16"/>
              </w:rPr>
            </w:pPr>
            <w:r>
              <w:rPr>
                <w:spacing w:val="-2"/>
                <w:sz w:val="16"/>
              </w:rPr>
              <w:t>-198.181,07</w:t>
            </w:r>
          </w:p>
        </w:tc>
        <w:tc>
          <w:tcPr>
            <w:tcW w:w="1065" w:type="dxa"/>
          </w:tcPr>
          <w:p>
            <w:pPr>
              <w:pStyle w:val="TableParagraph"/>
              <w:spacing w:before="18"/>
              <w:ind w:right="46"/>
              <w:jc w:val="right"/>
              <w:rPr>
                <w:sz w:val="16"/>
              </w:rPr>
            </w:pPr>
            <w:r>
              <w:rPr>
                <w:spacing w:val="-2"/>
                <w:sz w:val="16"/>
              </w:rPr>
              <w:t>-76.574,35</w:t>
            </w:r>
          </w:p>
        </w:tc>
      </w:tr>
      <w:tr>
        <w:trPr>
          <w:trHeight w:val="227" w:hRule="atLeast"/>
        </w:trPr>
        <w:tc>
          <w:tcPr>
            <w:tcW w:w="2737" w:type="dxa"/>
          </w:tcPr>
          <w:p>
            <w:pPr>
              <w:pStyle w:val="TableParagraph"/>
              <w:spacing w:before="18"/>
              <w:ind w:left="50"/>
              <w:rPr>
                <w:sz w:val="16"/>
              </w:rPr>
            </w:pPr>
            <w:r>
              <w:rPr>
                <w:sz w:val="16"/>
              </w:rPr>
              <w:t>Reserva</w:t>
            </w:r>
            <w:r>
              <w:rPr>
                <w:spacing w:val="-6"/>
                <w:sz w:val="16"/>
              </w:rPr>
              <w:t> </w:t>
            </w:r>
            <w:r>
              <w:rPr>
                <w:sz w:val="16"/>
              </w:rPr>
              <w:t>de</w:t>
            </w:r>
            <w:r>
              <w:rPr>
                <w:spacing w:val="-5"/>
                <w:sz w:val="16"/>
              </w:rPr>
              <w:t> </w:t>
            </w:r>
            <w:r>
              <w:rPr>
                <w:spacing w:val="-2"/>
                <w:sz w:val="16"/>
              </w:rPr>
              <w:t>nivelación</w:t>
            </w:r>
          </w:p>
        </w:tc>
        <w:tc>
          <w:tcPr>
            <w:tcW w:w="1319" w:type="dxa"/>
          </w:tcPr>
          <w:p>
            <w:pPr>
              <w:pStyle w:val="TableParagraph"/>
              <w:spacing w:before="18"/>
              <w:ind w:left="322"/>
              <w:rPr>
                <w:sz w:val="16"/>
              </w:rPr>
            </w:pPr>
            <w:r>
              <w:rPr>
                <w:spacing w:val="-5"/>
                <w:sz w:val="16"/>
              </w:rPr>
              <w:t>(5)</w:t>
            </w:r>
          </w:p>
        </w:tc>
        <w:tc>
          <w:tcPr>
            <w:tcW w:w="1192" w:type="dxa"/>
          </w:tcPr>
          <w:p>
            <w:pPr>
              <w:pStyle w:val="TableParagraph"/>
              <w:rPr>
                <w:sz w:val="16"/>
              </w:rPr>
            </w:pPr>
          </w:p>
        </w:tc>
        <w:tc>
          <w:tcPr>
            <w:tcW w:w="1065" w:type="dxa"/>
          </w:tcPr>
          <w:p>
            <w:pPr>
              <w:pStyle w:val="TableParagraph"/>
              <w:rPr>
                <w:sz w:val="16"/>
              </w:rPr>
            </w:pPr>
          </w:p>
        </w:tc>
      </w:tr>
      <w:tr>
        <w:trPr>
          <w:trHeight w:val="237" w:hRule="atLeast"/>
        </w:trPr>
        <w:tc>
          <w:tcPr>
            <w:tcW w:w="4056" w:type="dxa"/>
            <w:gridSpan w:val="2"/>
          </w:tcPr>
          <w:p>
            <w:pPr>
              <w:pStyle w:val="TableParagraph"/>
              <w:tabs>
                <w:tab w:pos="3955" w:val="left" w:leader="none"/>
                <w:tab w:pos="4234" w:val="left" w:leader="none"/>
              </w:tabs>
              <w:spacing w:before="18"/>
              <w:ind w:left="50" w:right="-188"/>
              <w:rPr>
                <w:b/>
                <w:sz w:val="16"/>
              </w:rPr>
            </w:pPr>
            <w:r>
              <w:rPr>
                <w:b/>
                <w:sz w:val="16"/>
              </w:rPr>
              <w:t>Base</w:t>
            </w:r>
            <w:r>
              <w:rPr>
                <w:b/>
                <w:spacing w:val="-7"/>
                <w:sz w:val="16"/>
              </w:rPr>
              <w:t> </w:t>
            </w:r>
            <w:r>
              <w:rPr>
                <w:b/>
                <w:sz w:val="16"/>
              </w:rPr>
              <w:t>imponible</w:t>
            </w:r>
            <w:r>
              <w:rPr>
                <w:b/>
                <w:spacing w:val="-7"/>
                <w:sz w:val="16"/>
              </w:rPr>
              <w:t> </w:t>
            </w:r>
            <w:r>
              <w:rPr>
                <w:b/>
                <w:sz w:val="16"/>
              </w:rPr>
              <w:t>(resultado</w:t>
            </w:r>
            <w:r>
              <w:rPr>
                <w:b/>
                <w:spacing w:val="-6"/>
                <w:sz w:val="16"/>
              </w:rPr>
              <w:t> </w:t>
            </w:r>
            <w:r>
              <w:rPr>
                <w:b/>
                <w:spacing w:val="-2"/>
                <w:sz w:val="16"/>
              </w:rPr>
              <w:t>fiscal)</w:t>
            </w:r>
            <w:r>
              <w:rPr>
                <w:b/>
                <w:sz w:val="16"/>
              </w:rPr>
              <w:tab/>
            </w:r>
            <w:r>
              <w:rPr>
                <w:b/>
                <w:sz w:val="16"/>
                <w:u w:val="single"/>
              </w:rPr>
              <w:tab/>
            </w:r>
          </w:p>
        </w:tc>
        <w:tc>
          <w:tcPr>
            <w:tcW w:w="1192" w:type="dxa"/>
          </w:tcPr>
          <w:p>
            <w:pPr>
              <w:pStyle w:val="TableParagraph"/>
              <w:tabs>
                <w:tab w:pos="1189" w:val="left" w:leader="none"/>
              </w:tabs>
              <w:spacing w:before="18"/>
              <w:ind w:right="-188"/>
              <w:jc w:val="right"/>
              <w:rPr>
                <w:b/>
                <w:sz w:val="16"/>
              </w:rPr>
            </w:pPr>
            <w:r>
              <w:rPr>
                <w:b/>
                <w:spacing w:val="-2"/>
                <w:sz w:val="16"/>
                <w:u w:val="single"/>
              </w:rPr>
              <w:t>1.778.475,71</w:t>
            </w:r>
            <w:r>
              <w:rPr>
                <w:b/>
                <w:sz w:val="16"/>
                <w:u w:val="single"/>
              </w:rPr>
              <w:tab/>
            </w:r>
          </w:p>
        </w:tc>
        <w:tc>
          <w:tcPr>
            <w:tcW w:w="1065" w:type="dxa"/>
          </w:tcPr>
          <w:p>
            <w:pPr>
              <w:pStyle w:val="TableParagraph"/>
              <w:spacing w:before="18"/>
              <w:ind w:right="-29"/>
              <w:jc w:val="right"/>
              <w:rPr>
                <w:b/>
                <w:sz w:val="16"/>
              </w:rPr>
            </w:pPr>
            <w:r>
              <w:rPr>
                <w:b/>
                <w:spacing w:val="-2"/>
                <w:sz w:val="16"/>
                <w:u w:val="single"/>
              </w:rPr>
              <w:t>1.792.772,79</w:t>
            </w:r>
            <w:r>
              <w:rPr>
                <w:b/>
                <w:spacing w:val="80"/>
                <w:sz w:val="16"/>
                <w:u w:val="single"/>
              </w:rPr>
              <w:t> </w:t>
            </w:r>
          </w:p>
        </w:tc>
      </w:tr>
      <w:tr>
        <w:trPr>
          <w:trHeight w:val="215" w:hRule="atLeast"/>
        </w:trPr>
        <w:tc>
          <w:tcPr>
            <w:tcW w:w="4056" w:type="dxa"/>
            <w:gridSpan w:val="2"/>
          </w:tcPr>
          <w:p>
            <w:pPr>
              <w:pStyle w:val="TableParagraph"/>
              <w:spacing w:line="167" w:lineRule="exact" w:before="28"/>
              <w:ind w:left="50"/>
              <w:rPr>
                <w:sz w:val="16"/>
              </w:rPr>
            </w:pPr>
            <w:r>
              <w:rPr>
                <w:sz w:val="16"/>
              </w:rPr>
              <w:t>Cuota</w:t>
            </w:r>
            <w:r>
              <w:rPr>
                <w:spacing w:val="-5"/>
                <w:sz w:val="16"/>
              </w:rPr>
              <w:t> </w:t>
            </w:r>
            <w:r>
              <w:rPr>
                <w:sz w:val="16"/>
              </w:rPr>
              <w:t>fiscal</w:t>
            </w:r>
            <w:r>
              <w:rPr>
                <w:spacing w:val="-4"/>
                <w:sz w:val="16"/>
              </w:rPr>
              <w:t> </w:t>
            </w:r>
            <w:r>
              <w:rPr>
                <w:sz w:val="16"/>
              </w:rPr>
              <w:t>del</w:t>
            </w:r>
            <w:r>
              <w:rPr>
                <w:spacing w:val="-5"/>
                <w:sz w:val="16"/>
              </w:rPr>
              <w:t> </w:t>
            </w:r>
            <w:r>
              <w:rPr>
                <w:sz w:val="16"/>
              </w:rPr>
              <w:t>impuesto</w:t>
            </w:r>
            <w:r>
              <w:rPr>
                <w:spacing w:val="-3"/>
                <w:sz w:val="16"/>
              </w:rPr>
              <w:t> </w:t>
            </w:r>
            <w:r>
              <w:rPr>
                <w:sz w:val="16"/>
              </w:rPr>
              <w:t>al</w:t>
            </w:r>
            <w:r>
              <w:rPr>
                <w:spacing w:val="-5"/>
                <w:sz w:val="16"/>
              </w:rPr>
              <w:t> 23%</w:t>
            </w:r>
          </w:p>
        </w:tc>
        <w:tc>
          <w:tcPr>
            <w:tcW w:w="1192" w:type="dxa"/>
          </w:tcPr>
          <w:p>
            <w:pPr>
              <w:pStyle w:val="TableParagraph"/>
              <w:rPr>
                <w:sz w:val="14"/>
              </w:rPr>
            </w:pPr>
          </w:p>
        </w:tc>
        <w:tc>
          <w:tcPr>
            <w:tcW w:w="1065" w:type="dxa"/>
          </w:tcPr>
          <w:p>
            <w:pPr>
              <w:pStyle w:val="TableParagraph"/>
              <w:spacing w:line="167" w:lineRule="exact" w:before="28"/>
              <w:ind w:right="46"/>
              <w:jc w:val="right"/>
              <w:rPr>
                <w:sz w:val="16"/>
              </w:rPr>
            </w:pPr>
            <w:r>
              <w:rPr>
                <w:spacing w:val="-2"/>
                <w:sz w:val="16"/>
              </w:rPr>
              <w:t>412.337,79</w:t>
            </w:r>
          </w:p>
        </w:tc>
      </w:tr>
      <w:tr>
        <w:trPr>
          <w:trHeight w:val="388" w:hRule="atLeast"/>
        </w:trPr>
        <w:tc>
          <w:tcPr>
            <w:tcW w:w="4056" w:type="dxa"/>
            <w:gridSpan w:val="2"/>
          </w:tcPr>
          <w:p>
            <w:pPr>
              <w:pStyle w:val="TableParagraph"/>
              <w:spacing w:line="180" w:lineRule="exact"/>
              <w:ind w:left="50"/>
              <w:rPr>
                <w:sz w:val="16"/>
              </w:rPr>
            </w:pPr>
            <w:r>
              <w:rPr>
                <w:sz w:val="16"/>
              </w:rPr>
              <w:t>Cuota</w:t>
            </w:r>
            <w:r>
              <w:rPr>
                <w:spacing w:val="14"/>
                <w:sz w:val="16"/>
              </w:rPr>
              <w:t> </w:t>
            </w:r>
            <w:r>
              <w:rPr>
                <w:sz w:val="16"/>
              </w:rPr>
              <w:t>fiscal</w:t>
            </w:r>
            <w:r>
              <w:rPr>
                <w:spacing w:val="14"/>
                <w:sz w:val="16"/>
              </w:rPr>
              <w:t> </w:t>
            </w:r>
            <w:r>
              <w:rPr>
                <w:sz w:val="16"/>
              </w:rPr>
              <w:t>del</w:t>
            </w:r>
            <w:r>
              <w:rPr>
                <w:spacing w:val="16"/>
                <w:sz w:val="16"/>
              </w:rPr>
              <w:t> </w:t>
            </w:r>
            <w:r>
              <w:rPr>
                <w:sz w:val="16"/>
              </w:rPr>
              <w:t>impuesto</w:t>
            </w:r>
            <w:r>
              <w:rPr>
                <w:spacing w:val="15"/>
                <w:sz w:val="16"/>
              </w:rPr>
              <w:t> </w:t>
            </w:r>
            <w:r>
              <w:rPr>
                <w:sz w:val="16"/>
              </w:rPr>
              <w:t>TRAMO</w:t>
            </w:r>
            <w:r>
              <w:rPr>
                <w:spacing w:val="15"/>
                <w:sz w:val="16"/>
              </w:rPr>
              <w:t> </w:t>
            </w:r>
            <w:r>
              <w:rPr>
                <w:sz w:val="16"/>
              </w:rPr>
              <w:t>1</w:t>
            </w:r>
            <w:r>
              <w:rPr>
                <w:spacing w:val="16"/>
                <w:sz w:val="16"/>
              </w:rPr>
              <w:t> </w:t>
            </w:r>
            <w:r>
              <w:rPr>
                <w:sz w:val="16"/>
              </w:rPr>
              <w:t>(hasta</w:t>
            </w:r>
            <w:r>
              <w:rPr>
                <w:spacing w:val="15"/>
                <w:sz w:val="16"/>
              </w:rPr>
              <w:t> </w:t>
            </w:r>
            <w:r>
              <w:rPr>
                <w:sz w:val="16"/>
              </w:rPr>
              <w:t>50.000</w:t>
            </w:r>
            <w:r>
              <w:rPr>
                <w:spacing w:val="16"/>
                <w:sz w:val="16"/>
              </w:rPr>
              <w:t> </w:t>
            </w:r>
            <w:r>
              <w:rPr>
                <w:sz w:val="16"/>
              </w:rPr>
              <w:t>€)</w:t>
            </w:r>
            <w:r>
              <w:rPr>
                <w:spacing w:val="70"/>
                <w:sz w:val="16"/>
              </w:rPr>
              <w:t> </w:t>
            </w:r>
            <w:r>
              <w:rPr>
                <w:spacing w:val="-5"/>
                <w:sz w:val="16"/>
              </w:rPr>
              <w:t>al</w:t>
            </w:r>
          </w:p>
          <w:p>
            <w:pPr>
              <w:pStyle w:val="TableParagraph"/>
              <w:ind w:left="50"/>
              <w:rPr>
                <w:sz w:val="16"/>
              </w:rPr>
            </w:pPr>
            <w:r>
              <w:rPr>
                <w:spacing w:val="-5"/>
                <w:sz w:val="16"/>
              </w:rPr>
              <w:t>21%</w:t>
            </w:r>
          </w:p>
        </w:tc>
        <w:tc>
          <w:tcPr>
            <w:tcW w:w="1192" w:type="dxa"/>
          </w:tcPr>
          <w:p>
            <w:pPr>
              <w:pStyle w:val="TableParagraph"/>
              <w:spacing w:before="180"/>
              <w:ind w:left="379"/>
              <w:rPr>
                <w:sz w:val="16"/>
              </w:rPr>
            </w:pPr>
            <w:r>
              <w:rPr>
                <w:spacing w:val="-2"/>
                <w:sz w:val="16"/>
              </w:rPr>
              <w:t>10.500,00</w:t>
            </w:r>
          </w:p>
        </w:tc>
        <w:tc>
          <w:tcPr>
            <w:tcW w:w="1065" w:type="dxa"/>
          </w:tcPr>
          <w:p>
            <w:pPr>
              <w:pStyle w:val="TableParagraph"/>
              <w:rPr>
                <w:sz w:val="18"/>
              </w:rPr>
            </w:pPr>
          </w:p>
        </w:tc>
      </w:tr>
      <w:tr>
        <w:trPr>
          <w:trHeight w:val="227" w:hRule="atLeast"/>
        </w:trPr>
        <w:tc>
          <w:tcPr>
            <w:tcW w:w="4056" w:type="dxa"/>
            <w:gridSpan w:val="2"/>
          </w:tcPr>
          <w:p>
            <w:pPr>
              <w:pStyle w:val="TableParagraph"/>
              <w:spacing w:before="18"/>
              <w:ind w:left="50"/>
              <w:rPr>
                <w:sz w:val="16"/>
              </w:rPr>
            </w:pPr>
            <w:r>
              <w:rPr>
                <w:sz w:val="16"/>
              </w:rPr>
              <w:t>Cuota</w:t>
            </w:r>
            <w:r>
              <w:rPr>
                <w:spacing w:val="-7"/>
                <w:sz w:val="16"/>
              </w:rPr>
              <w:t> </w:t>
            </w:r>
            <w:r>
              <w:rPr>
                <w:sz w:val="16"/>
              </w:rPr>
              <w:t>fiscal</w:t>
            </w:r>
            <w:r>
              <w:rPr>
                <w:spacing w:val="-4"/>
                <w:sz w:val="16"/>
              </w:rPr>
              <w:t> </w:t>
            </w:r>
            <w:r>
              <w:rPr>
                <w:sz w:val="16"/>
              </w:rPr>
              <w:t>del</w:t>
            </w:r>
            <w:r>
              <w:rPr>
                <w:spacing w:val="-4"/>
                <w:sz w:val="16"/>
              </w:rPr>
              <w:t> </w:t>
            </w:r>
            <w:r>
              <w:rPr>
                <w:sz w:val="16"/>
              </w:rPr>
              <w:t>impuesto</w:t>
            </w:r>
            <w:r>
              <w:rPr>
                <w:spacing w:val="-3"/>
                <w:sz w:val="16"/>
              </w:rPr>
              <w:t> </w:t>
            </w:r>
            <w:r>
              <w:rPr>
                <w:sz w:val="16"/>
              </w:rPr>
              <w:t>TRAMO</w:t>
            </w:r>
            <w:r>
              <w:rPr>
                <w:spacing w:val="-4"/>
                <w:sz w:val="16"/>
              </w:rPr>
              <w:t> </w:t>
            </w:r>
            <w:r>
              <w:rPr>
                <w:sz w:val="16"/>
              </w:rPr>
              <w:t>2</w:t>
            </w:r>
            <w:r>
              <w:rPr>
                <w:spacing w:val="-3"/>
                <w:sz w:val="16"/>
              </w:rPr>
              <w:t> </w:t>
            </w:r>
            <w:r>
              <w:rPr>
                <w:sz w:val="16"/>
              </w:rPr>
              <w:t>(&gt;</w:t>
            </w:r>
            <w:r>
              <w:rPr>
                <w:spacing w:val="-4"/>
                <w:sz w:val="16"/>
              </w:rPr>
              <w:t> </w:t>
            </w:r>
            <w:r>
              <w:rPr>
                <w:sz w:val="16"/>
              </w:rPr>
              <w:t>50.000</w:t>
            </w:r>
            <w:r>
              <w:rPr>
                <w:spacing w:val="-3"/>
                <w:sz w:val="16"/>
              </w:rPr>
              <w:t> </w:t>
            </w:r>
            <w:r>
              <w:rPr>
                <w:sz w:val="16"/>
              </w:rPr>
              <w:t>€)</w:t>
            </w:r>
            <w:r>
              <w:rPr>
                <w:spacing w:val="33"/>
                <w:sz w:val="16"/>
              </w:rPr>
              <w:t> </w:t>
            </w:r>
            <w:r>
              <w:rPr>
                <w:sz w:val="16"/>
              </w:rPr>
              <w:t>al</w:t>
            </w:r>
            <w:r>
              <w:rPr>
                <w:spacing w:val="-4"/>
                <w:sz w:val="16"/>
              </w:rPr>
              <w:t> </w:t>
            </w:r>
            <w:r>
              <w:rPr>
                <w:spacing w:val="-5"/>
                <w:sz w:val="16"/>
              </w:rPr>
              <w:t>22%</w:t>
            </w:r>
          </w:p>
        </w:tc>
        <w:tc>
          <w:tcPr>
            <w:tcW w:w="1192" w:type="dxa"/>
          </w:tcPr>
          <w:p>
            <w:pPr>
              <w:pStyle w:val="TableParagraph"/>
              <w:spacing w:before="18"/>
              <w:ind w:left="298"/>
              <w:rPr>
                <w:sz w:val="16"/>
              </w:rPr>
            </w:pPr>
            <w:r>
              <w:rPr>
                <w:spacing w:val="-2"/>
                <w:sz w:val="16"/>
              </w:rPr>
              <w:t>380.264,66</w:t>
            </w:r>
          </w:p>
        </w:tc>
        <w:tc>
          <w:tcPr>
            <w:tcW w:w="1065" w:type="dxa"/>
          </w:tcPr>
          <w:p>
            <w:pPr>
              <w:pStyle w:val="TableParagraph"/>
              <w:rPr>
                <w:sz w:val="16"/>
              </w:rPr>
            </w:pPr>
          </w:p>
        </w:tc>
      </w:tr>
      <w:tr>
        <w:trPr>
          <w:trHeight w:val="227" w:hRule="atLeast"/>
        </w:trPr>
        <w:tc>
          <w:tcPr>
            <w:tcW w:w="2737" w:type="dxa"/>
          </w:tcPr>
          <w:p>
            <w:pPr>
              <w:pStyle w:val="TableParagraph"/>
              <w:spacing w:before="18"/>
              <w:ind w:left="50"/>
              <w:rPr>
                <w:sz w:val="16"/>
              </w:rPr>
            </w:pPr>
            <w:r>
              <w:rPr>
                <w:spacing w:val="-2"/>
                <w:sz w:val="16"/>
              </w:rPr>
              <w:t>Deducciones</w:t>
            </w:r>
          </w:p>
        </w:tc>
        <w:tc>
          <w:tcPr>
            <w:tcW w:w="1319" w:type="dxa"/>
          </w:tcPr>
          <w:p>
            <w:pPr>
              <w:pStyle w:val="TableParagraph"/>
              <w:spacing w:before="18"/>
              <w:ind w:left="295"/>
              <w:rPr>
                <w:sz w:val="16"/>
              </w:rPr>
            </w:pPr>
            <w:r>
              <w:rPr>
                <w:spacing w:val="-5"/>
                <w:sz w:val="16"/>
              </w:rPr>
              <w:t>(6)</w:t>
            </w:r>
          </w:p>
        </w:tc>
        <w:tc>
          <w:tcPr>
            <w:tcW w:w="1192" w:type="dxa"/>
          </w:tcPr>
          <w:p>
            <w:pPr>
              <w:pStyle w:val="TableParagraph"/>
              <w:rPr>
                <w:sz w:val="16"/>
              </w:rPr>
            </w:pPr>
          </w:p>
        </w:tc>
        <w:tc>
          <w:tcPr>
            <w:tcW w:w="1065" w:type="dxa"/>
          </w:tcPr>
          <w:p>
            <w:pPr>
              <w:pStyle w:val="TableParagraph"/>
              <w:rPr>
                <w:sz w:val="16"/>
              </w:rPr>
            </w:pPr>
          </w:p>
        </w:tc>
      </w:tr>
      <w:tr>
        <w:trPr>
          <w:trHeight w:val="236" w:hRule="atLeast"/>
        </w:trPr>
        <w:tc>
          <w:tcPr>
            <w:tcW w:w="4056" w:type="dxa"/>
            <w:gridSpan w:val="2"/>
          </w:tcPr>
          <w:p>
            <w:pPr>
              <w:pStyle w:val="TableParagraph"/>
              <w:tabs>
                <w:tab w:pos="3955" w:val="left" w:leader="none"/>
                <w:tab w:pos="4354" w:val="left" w:leader="none"/>
              </w:tabs>
              <w:spacing w:before="18"/>
              <w:ind w:left="50" w:right="-303"/>
              <w:rPr>
                <w:b/>
                <w:sz w:val="16"/>
              </w:rPr>
            </w:pPr>
            <w:r>
              <w:rPr>
                <w:b/>
                <w:sz w:val="16"/>
              </w:rPr>
              <w:t>Gastos</w:t>
            </w:r>
            <w:r>
              <w:rPr>
                <w:b/>
                <w:spacing w:val="-6"/>
                <w:sz w:val="16"/>
              </w:rPr>
              <w:t> </w:t>
            </w:r>
            <w:r>
              <w:rPr>
                <w:b/>
                <w:sz w:val="16"/>
              </w:rPr>
              <w:t>por</w:t>
            </w:r>
            <w:r>
              <w:rPr>
                <w:b/>
                <w:spacing w:val="-6"/>
                <w:sz w:val="16"/>
              </w:rPr>
              <w:t> </w:t>
            </w:r>
            <w:r>
              <w:rPr>
                <w:b/>
                <w:sz w:val="16"/>
              </w:rPr>
              <w:t>impuesto</w:t>
            </w:r>
            <w:r>
              <w:rPr>
                <w:b/>
                <w:spacing w:val="-5"/>
                <w:sz w:val="16"/>
              </w:rPr>
              <w:t> </w:t>
            </w:r>
            <w:r>
              <w:rPr>
                <w:b/>
                <w:spacing w:val="-2"/>
                <w:sz w:val="16"/>
              </w:rPr>
              <w:t>corriente</w:t>
            </w:r>
            <w:r>
              <w:rPr>
                <w:b/>
                <w:sz w:val="16"/>
              </w:rPr>
              <w:tab/>
            </w:r>
            <w:r>
              <w:rPr>
                <w:b/>
                <w:sz w:val="16"/>
                <w:u w:val="single"/>
              </w:rPr>
              <w:tab/>
            </w:r>
          </w:p>
        </w:tc>
        <w:tc>
          <w:tcPr>
            <w:tcW w:w="1192" w:type="dxa"/>
          </w:tcPr>
          <w:p>
            <w:pPr>
              <w:pStyle w:val="TableParagraph"/>
              <w:tabs>
                <w:tab w:pos="1189" w:val="left" w:leader="none"/>
              </w:tabs>
              <w:spacing w:before="18"/>
              <w:ind w:right="-303"/>
              <w:jc w:val="right"/>
              <w:rPr>
                <w:b/>
                <w:sz w:val="16"/>
              </w:rPr>
            </w:pPr>
            <w:r>
              <w:rPr>
                <w:b/>
                <w:spacing w:val="-2"/>
                <w:sz w:val="16"/>
                <w:u w:val="single"/>
              </w:rPr>
              <w:t>390.764,66</w:t>
            </w:r>
            <w:r>
              <w:rPr>
                <w:b/>
                <w:sz w:val="16"/>
                <w:u w:val="single"/>
              </w:rPr>
              <w:tab/>
            </w:r>
          </w:p>
        </w:tc>
        <w:tc>
          <w:tcPr>
            <w:tcW w:w="1065" w:type="dxa"/>
          </w:tcPr>
          <w:p>
            <w:pPr>
              <w:pStyle w:val="TableParagraph"/>
              <w:spacing w:before="18"/>
              <w:ind w:right="-29"/>
              <w:jc w:val="right"/>
              <w:rPr>
                <w:b/>
                <w:sz w:val="16"/>
              </w:rPr>
            </w:pPr>
            <w:r>
              <w:rPr>
                <w:b/>
                <w:spacing w:val="-2"/>
                <w:sz w:val="16"/>
                <w:u w:val="single"/>
              </w:rPr>
              <w:t>412.337,79</w:t>
            </w:r>
            <w:r>
              <w:rPr>
                <w:b/>
                <w:spacing w:val="80"/>
                <w:sz w:val="16"/>
                <w:u w:val="single"/>
              </w:rPr>
              <w:t> </w:t>
            </w:r>
          </w:p>
        </w:tc>
      </w:tr>
      <w:tr>
        <w:trPr>
          <w:trHeight w:val="237" w:hRule="atLeast"/>
        </w:trPr>
        <w:tc>
          <w:tcPr>
            <w:tcW w:w="4056" w:type="dxa"/>
            <w:gridSpan w:val="2"/>
          </w:tcPr>
          <w:p>
            <w:pPr>
              <w:pStyle w:val="TableParagraph"/>
              <w:spacing w:before="28"/>
              <w:ind w:left="50"/>
              <w:rPr>
                <w:sz w:val="16"/>
              </w:rPr>
            </w:pPr>
            <w:r>
              <w:rPr>
                <w:spacing w:val="-2"/>
                <w:sz w:val="16"/>
              </w:rPr>
              <w:t>Retenciones</w:t>
            </w:r>
          </w:p>
        </w:tc>
        <w:tc>
          <w:tcPr>
            <w:tcW w:w="1192" w:type="dxa"/>
          </w:tcPr>
          <w:p>
            <w:pPr>
              <w:pStyle w:val="TableParagraph"/>
              <w:spacing w:before="28"/>
              <w:ind w:left="246"/>
              <w:rPr>
                <w:sz w:val="16"/>
              </w:rPr>
            </w:pPr>
            <w:r>
              <w:rPr>
                <w:spacing w:val="-2"/>
                <w:sz w:val="16"/>
              </w:rPr>
              <w:t>-396.482,39</w:t>
            </w:r>
          </w:p>
        </w:tc>
        <w:tc>
          <w:tcPr>
            <w:tcW w:w="1065" w:type="dxa"/>
          </w:tcPr>
          <w:p>
            <w:pPr>
              <w:pStyle w:val="TableParagraph"/>
              <w:spacing w:before="28"/>
              <w:ind w:right="46"/>
              <w:jc w:val="right"/>
              <w:rPr>
                <w:sz w:val="16"/>
              </w:rPr>
            </w:pPr>
            <w:r>
              <w:rPr>
                <w:spacing w:val="-2"/>
                <w:sz w:val="16"/>
              </w:rPr>
              <w:t>-321.543,05</w:t>
            </w:r>
          </w:p>
        </w:tc>
      </w:tr>
      <w:tr>
        <w:trPr>
          <w:trHeight w:val="237" w:hRule="atLeast"/>
        </w:trPr>
        <w:tc>
          <w:tcPr>
            <w:tcW w:w="4056" w:type="dxa"/>
            <w:gridSpan w:val="2"/>
          </w:tcPr>
          <w:p>
            <w:pPr>
              <w:pStyle w:val="TableParagraph"/>
              <w:tabs>
                <w:tab w:pos="3955" w:val="left" w:leader="none"/>
                <w:tab w:pos="4381" w:val="left" w:leader="none"/>
              </w:tabs>
              <w:spacing w:before="18"/>
              <w:ind w:left="50" w:right="-332"/>
              <w:rPr>
                <w:sz w:val="16"/>
              </w:rPr>
            </w:pPr>
            <w:r>
              <w:rPr>
                <w:sz w:val="16"/>
              </w:rPr>
              <w:t>Pagos</w:t>
            </w:r>
            <w:r>
              <w:rPr>
                <w:spacing w:val="-4"/>
                <w:sz w:val="16"/>
              </w:rPr>
              <w:t> </w:t>
            </w:r>
            <w:r>
              <w:rPr>
                <w:sz w:val="16"/>
              </w:rPr>
              <w:t>a</w:t>
            </w:r>
            <w:r>
              <w:rPr>
                <w:spacing w:val="-3"/>
                <w:sz w:val="16"/>
              </w:rPr>
              <w:t> </w:t>
            </w:r>
            <w:r>
              <w:rPr>
                <w:spacing w:val="-2"/>
                <w:sz w:val="16"/>
              </w:rPr>
              <w:t>cuenta</w:t>
            </w:r>
            <w:r>
              <w:rPr>
                <w:sz w:val="16"/>
              </w:rPr>
              <w:tab/>
            </w:r>
            <w:r>
              <w:rPr>
                <w:sz w:val="16"/>
                <w:u w:val="single"/>
              </w:rPr>
              <w:tab/>
            </w:r>
          </w:p>
        </w:tc>
        <w:tc>
          <w:tcPr>
            <w:tcW w:w="1192" w:type="dxa"/>
          </w:tcPr>
          <w:p>
            <w:pPr>
              <w:pStyle w:val="TableParagraph"/>
              <w:tabs>
                <w:tab w:pos="1189" w:val="left" w:leader="none"/>
              </w:tabs>
              <w:spacing w:before="18"/>
              <w:ind w:right="-332"/>
              <w:jc w:val="right"/>
              <w:rPr>
                <w:sz w:val="16"/>
              </w:rPr>
            </w:pPr>
            <w:r>
              <w:rPr>
                <w:spacing w:val="-2"/>
                <w:sz w:val="16"/>
                <w:u w:val="single"/>
              </w:rPr>
              <w:t>-76.108,67</w:t>
            </w:r>
            <w:r>
              <w:rPr>
                <w:sz w:val="16"/>
                <w:u w:val="single"/>
              </w:rPr>
              <w:tab/>
            </w:r>
          </w:p>
        </w:tc>
        <w:tc>
          <w:tcPr>
            <w:tcW w:w="1065" w:type="dxa"/>
          </w:tcPr>
          <w:p>
            <w:pPr>
              <w:pStyle w:val="TableParagraph"/>
              <w:spacing w:before="18"/>
              <w:ind w:right="-29"/>
              <w:jc w:val="right"/>
              <w:rPr>
                <w:sz w:val="16"/>
              </w:rPr>
            </w:pPr>
            <w:r>
              <w:rPr>
                <w:spacing w:val="-2"/>
                <w:sz w:val="16"/>
                <w:u w:val="single"/>
              </w:rPr>
              <w:t>-30.497,06</w:t>
            </w:r>
            <w:r>
              <w:rPr>
                <w:spacing w:val="80"/>
                <w:sz w:val="16"/>
                <w:u w:val="single"/>
              </w:rPr>
              <w:t> </w:t>
            </w:r>
          </w:p>
        </w:tc>
      </w:tr>
      <w:tr>
        <w:trPr>
          <w:trHeight w:val="211" w:hRule="atLeast"/>
        </w:trPr>
        <w:tc>
          <w:tcPr>
            <w:tcW w:w="4056" w:type="dxa"/>
            <w:gridSpan w:val="2"/>
          </w:tcPr>
          <w:p>
            <w:pPr>
              <w:pStyle w:val="TableParagraph"/>
              <w:spacing w:line="164" w:lineRule="exact" w:before="28"/>
              <w:ind w:left="1011"/>
              <w:rPr>
                <w:b/>
                <w:sz w:val="16"/>
              </w:rPr>
            </w:pPr>
            <w:r>
              <w:rPr>
                <w:b/>
                <w:sz w:val="16"/>
              </w:rPr>
              <w:t>Impuesto</w:t>
            </w:r>
            <w:r>
              <w:rPr>
                <w:b/>
                <w:spacing w:val="-3"/>
                <w:sz w:val="16"/>
              </w:rPr>
              <w:t> </w:t>
            </w:r>
            <w:r>
              <w:rPr>
                <w:b/>
                <w:sz w:val="16"/>
              </w:rPr>
              <w:t>a</w:t>
            </w:r>
            <w:r>
              <w:rPr>
                <w:b/>
                <w:spacing w:val="-4"/>
                <w:sz w:val="16"/>
              </w:rPr>
              <w:t> </w:t>
            </w:r>
            <w:r>
              <w:rPr>
                <w:b/>
                <w:sz w:val="16"/>
              </w:rPr>
              <w:t>pagar</w:t>
            </w:r>
            <w:r>
              <w:rPr>
                <w:b/>
                <w:spacing w:val="-4"/>
                <w:sz w:val="16"/>
              </w:rPr>
              <w:t> </w:t>
            </w:r>
            <w:r>
              <w:rPr>
                <w:b/>
                <w:sz w:val="16"/>
              </w:rPr>
              <w:t>/</w:t>
            </w:r>
            <w:r>
              <w:rPr>
                <w:b/>
                <w:spacing w:val="-4"/>
                <w:sz w:val="16"/>
              </w:rPr>
              <w:t> </w:t>
            </w:r>
            <w:r>
              <w:rPr>
                <w:b/>
                <w:spacing w:val="-2"/>
                <w:sz w:val="16"/>
              </w:rPr>
              <w:t>devolver</w:t>
            </w:r>
          </w:p>
        </w:tc>
        <w:tc>
          <w:tcPr>
            <w:tcW w:w="1192" w:type="dxa"/>
          </w:tcPr>
          <w:p>
            <w:pPr>
              <w:pStyle w:val="TableParagraph"/>
              <w:spacing w:line="164" w:lineRule="exact" w:before="28"/>
              <w:ind w:left="325"/>
              <w:rPr>
                <w:b/>
                <w:sz w:val="16"/>
              </w:rPr>
            </w:pPr>
            <w:r>
              <w:rPr>
                <w:b/>
                <w:spacing w:val="-2"/>
                <w:sz w:val="16"/>
              </w:rPr>
              <w:t>-81.826,40</w:t>
            </w:r>
          </w:p>
        </w:tc>
        <w:tc>
          <w:tcPr>
            <w:tcW w:w="1065" w:type="dxa"/>
          </w:tcPr>
          <w:p>
            <w:pPr>
              <w:pStyle w:val="TableParagraph"/>
              <w:spacing w:line="164" w:lineRule="exact" w:before="28"/>
              <w:ind w:right="46"/>
              <w:jc w:val="right"/>
              <w:rPr>
                <w:b/>
                <w:sz w:val="16"/>
              </w:rPr>
            </w:pPr>
            <w:r>
              <w:rPr>
                <w:b/>
                <w:spacing w:val="-2"/>
                <w:sz w:val="16"/>
              </w:rPr>
              <w:t>60.297,68</w:t>
            </w:r>
          </w:p>
        </w:tc>
      </w:tr>
    </w:tbl>
    <w:p>
      <w:pPr>
        <w:pStyle w:val="BodyText"/>
      </w:pPr>
    </w:p>
    <w:p>
      <w:pPr>
        <w:pStyle w:val="BodyText"/>
        <w:spacing w:before="17"/>
      </w:pPr>
    </w:p>
    <w:p>
      <w:pPr>
        <w:pStyle w:val="ListParagraph"/>
        <w:numPr>
          <w:ilvl w:val="0"/>
          <w:numId w:val="12"/>
        </w:numPr>
        <w:tabs>
          <w:tab w:pos="1354" w:val="left" w:leader="none"/>
        </w:tabs>
        <w:spacing w:line="240" w:lineRule="auto" w:before="0" w:after="0"/>
        <w:ind w:left="1354" w:right="0" w:hanging="359"/>
        <w:jc w:val="left"/>
        <w:rPr>
          <w:sz w:val="22"/>
        </w:rPr>
      </w:pPr>
      <w:r>
        <w:rPr>
          <w:sz w:val="22"/>
        </w:rPr>
        <w:t>Las</w:t>
      </w:r>
      <w:r>
        <w:rPr>
          <w:spacing w:val="-8"/>
          <w:sz w:val="22"/>
        </w:rPr>
        <w:t> </w:t>
      </w:r>
      <w:r>
        <w:rPr>
          <w:sz w:val="22"/>
        </w:rPr>
        <w:t>diferencias</w:t>
      </w:r>
      <w:r>
        <w:rPr>
          <w:spacing w:val="-8"/>
          <w:sz w:val="22"/>
        </w:rPr>
        <w:t> </w:t>
      </w:r>
      <w:r>
        <w:rPr>
          <w:sz w:val="22"/>
        </w:rPr>
        <w:t>permanentes</w:t>
      </w:r>
      <w:r>
        <w:rPr>
          <w:spacing w:val="-8"/>
          <w:sz w:val="22"/>
        </w:rPr>
        <w:t> </w:t>
      </w:r>
      <w:r>
        <w:rPr>
          <w:sz w:val="22"/>
        </w:rPr>
        <w:t>tienen</w:t>
      </w:r>
      <w:r>
        <w:rPr>
          <w:spacing w:val="-7"/>
          <w:sz w:val="22"/>
        </w:rPr>
        <w:t> </w:t>
      </w:r>
      <w:r>
        <w:rPr>
          <w:sz w:val="22"/>
        </w:rPr>
        <w:t>su</w:t>
      </w:r>
      <w:r>
        <w:rPr>
          <w:spacing w:val="-7"/>
          <w:sz w:val="22"/>
        </w:rPr>
        <w:t> </w:t>
      </w:r>
      <w:r>
        <w:rPr>
          <w:sz w:val="22"/>
        </w:rPr>
        <w:t>origen</w:t>
      </w:r>
      <w:r>
        <w:rPr>
          <w:spacing w:val="-7"/>
          <w:sz w:val="22"/>
        </w:rPr>
        <w:t> </w:t>
      </w:r>
      <w:r>
        <w:rPr>
          <w:sz w:val="22"/>
        </w:rPr>
        <w:t>en</w:t>
      </w:r>
      <w:r>
        <w:rPr>
          <w:spacing w:val="-7"/>
          <w:sz w:val="22"/>
        </w:rPr>
        <w:t> </w:t>
      </w:r>
      <w:r>
        <w:rPr>
          <w:sz w:val="22"/>
        </w:rPr>
        <w:t>los</w:t>
      </w:r>
      <w:r>
        <w:rPr>
          <w:spacing w:val="-8"/>
          <w:sz w:val="22"/>
        </w:rPr>
        <w:t> </w:t>
      </w:r>
      <w:r>
        <w:rPr>
          <w:sz w:val="22"/>
        </w:rPr>
        <w:t>siguientes</w:t>
      </w:r>
      <w:r>
        <w:rPr>
          <w:spacing w:val="-8"/>
          <w:sz w:val="22"/>
        </w:rPr>
        <w:t> </w:t>
      </w:r>
      <w:r>
        <w:rPr>
          <w:spacing w:val="-2"/>
          <w:sz w:val="22"/>
        </w:rPr>
        <w:t>conceptos:</w:t>
      </w:r>
    </w:p>
    <w:p>
      <w:pPr>
        <w:pStyle w:val="BodyText"/>
        <w:spacing w:before="81"/>
        <w:rPr>
          <w:sz w:val="20"/>
        </w:rPr>
      </w:pPr>
    </w:p>
    <w:tbl>
      <w:tblPr>
        <w:tblW w:w="0" w:type="auto"/>
        <w:jc w:val="left"/>
        <w:tblInd w:w="2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24"/>
        <w:gridCol w:w="1392"/>
        <w:gridCol w:w="1011"/>
      </w:tblGrid>
      <w:tr>
        <w:trPr>
          <w:trHeight w:val="211" w:hRule="atLeast"/>
        </w:trPr>
        <w:tc>
          <w:tcPr>
            <w:tcW w:w="4024" w:type="dxa"/>
          </w:tcPr>
          <w:p>
            <w:pPr>
              <w:pStyle w:val="TableParagraph"/>
              <w:spacing w:line="177" w:lineRule="exact"/>
              <w:ind w:left="1164"/>
              <w:rPr>
                <w:b/>
                <w:sz w:val="16"/>
              </w:rPr>
            </w:pPr>
            <w:r>
              <w:rPr>
                <w:b/>
                <w:sz w:val="16"/>
              </w:rPr>
              <w:t>Diferencias</w:t>
            </w:r>
            <w:r>
              <w:rPr>
                <w:b/>
                <w:spacing w:val="-9"/>
                <w:sz w:val="16"/>
              </w:rPr>
              <w:t> </w:t>
            </w:r>
            <w:r>
              <w:rPr>
                <w:b/>
                <w:spacing w:val="-2"/>
                <w:sz w:val="16"/>
              </w:rPr>
              <w:t>permanentes</w:t>
            </w:r>
          </w:p>
        </w:tc>
        <w:tc>
          <w:tcPr>
            <w:tcW w:w="1392" w:type="dxa"/>
          </w:tcPr>
          <w:p>
            <w:pPr>
              <w:pStyle w:val="TableParagraph"/>
              <w:tabs>
                <w:tab w:pos="439" w:val="left" w:leader="none"/>
                <w:tab w:pos="1639" w:val="left" w:leader="none"/>
              </w:tabs>
              <w:spacing w:line="177" w:lineRule="exact"/>
              <w:ind w:right="-274"/>
              <w:jc w:val="right"/>
              <w:rPr>
                <w:b/>
                <w:sz w:val="16"/>
              </w:rPr>
            </w:pPr>
            <w:r>
              <w:rPr>
                <w:b/>
                <w:sz w:val="16"/>
                <w:u w:val="single"/>
              </w:rPr>
              <w:tab/>
            </w:r>
            <w:r>
              <w:rPr>
                <w:b/>
                <w:spacing w:val="-4"/>
                <w:sz w:val="16"/>
                <w:u w:val="single"/>
              </w:rPr>
              <w:t>2025</w:t>
            </w:r>
            <w:r>
              <w:rPr>
                <w:b/>
                <w:sz w:val="16"/>
                <w:u w:val="single"/>
              </w:rPr>
              <w:tab/>
            </w:r>
          </w:p>
        </w:tc>
        <w:tc>
          <w:tcPr>
            <w:tcW w:w="1011" w:type="dxa"/>
          </w:tcPr>
          <w:p>
            <w:pPr>
              <w:pStyle w:val="TableParagraph"/>
              <w:tabs>
                <w:tab w:pos="1029" w:val="left" w:leader="none"/>
              </w:tabs>
              <w:spacing w:line="177" w:lineRule="exact"/>
              <w:ind w:left="268" w:right="-29"/>
              <w:rPr>
                <w:b/>
                <w:sz w:val="16"/>
              </w:rPr>
            </w:pPr>
            <w:r>
              <w:rPr>
                <w:b/>
                <w:spacing w:val="-4"/>
                <w:sz w:val="16"/>
                <w:u w:val="single"/>
              </w:rPr>
              <w:t>2024</w:t>
            </w:r>
            <w:r>
              <w:rPr>
                <w:b/>
                <w:sz w:val="16"/>
                <w:u w:val="single"/>
              </w:rPr>
              <w:tab/>
            </w:r>
          </w:p>
        </w:tc>
      </w:tr>
      <w:tr>
        <w:trPr>
          <w:trHeight w:val="247" w:hRule="atLeast"/>
        </w:trPr>
        <w:tc>
          <w:tcPr>
            <w:tcW w:w="4024" w:type="dxa"/>
          </w:tcPr>
          <w:p>
            <w:pPr>
              <w:pStyle w:val="TableParagraph"/>
              <w:spacing w:before="28"/>
              <w:ind w:left="50"/>
              <w:rPr>
                <w:sz w:val="16"/>
              </w:rPr>
            </w:pPr>
            <w:r>
              <w:rPr>
                <w:sz w:val="16"/>
              </w:rPr>
              <w:t>Gastos</w:t>
            </w:r>
            <w:r>
              <w:rPr>
                <w:spacing w:val="-9"/>
                <w:sz w:val="16"/>
              </w:rPr>
              <w:t> </w:t>
            </w:r>
            <w:r>
              <w:rPr>
                <w:sz w:val="16"/>
              </w:rPr>
              <w:t>no</w:t>
            </w:r>
            <w:r>
              <w:rPr>
                <w:spacing w:val="-7"/>
                <w:sz w:val="16"/>
              </w:rPr>
              <w:t> </w:t>
            </w:r>
            <w:r>
              <w:rPr>
                <w:sz w:val="16"/>
              </w:rPr>
              <w:t>deducibles</w:t>
            </w:r>
            <w:r>
              <w:rPr>
                <w:spacing w:val="-9"/>
                <w:sz w:val="16"/>
              </w:rPr>
              <w:t> </w:t>
            </w:r>
            <w:r>
              <w:rPr>
                <w:sz w:val="16"/>
              </w:rPr>
              <w:t>(intereses</w:t>
            </w:r>
            <w:r>
              <w:rPr>
                <w:spacing w:val="-7"/>
                <w:sz w:val="16"/>
              </w:rPr>
              <w:t> </w:t>
            </w:r>
            <w:r>
              <w:rPr>
                <w:sz w:val="16"/>
              </w:rPr>
              <w:t>préstamos</w:t>
            </w:r>
            <w:r>
              <w:rPr>
                <w:spacing w:val="-8"/>
                <w:sz w:val="16"/>
              </w:rPr>
              <w:t> </w:t>
            </w:r>
            <w:r>
              <w:rPr>
                <w:spacing w:val="-2"/>
                <w:sz w:val="16"/>
              </w:rPr>
              <w:t>participativos)</w:t>
            </w:r>
          </w:p>
        </w:tc>
        <w:tc>
          <w:tcPr>
            <w:tcW w:w="1392" w:type="dxa"/>
          </w:tcPr>
          <w:p>
            <w:pPr>
              <w:pStyle w:val="TableParagraph"/>
              <w:tabs>
                <w:tab w:pos="289" w:val="left" w:leader="none"/>
                <w:tab w:pos="1609" w:val="left" w:leader="none"/>
              </w:tabs>
              <w:spacing w:before="28"/>
              <w:ind w:right="-245"/>
              <w:jc w:val="right"/>
              <w:rPr>
                <w:sz w:val="16"/>
              </w:rPr>
            </w:pPr>
            <w:r>
              <w:rPr>
                <w:sz w:val="16"/>
                <w:u w:val="single"/>
              </w:rPr>
              <w:tab/>
            </w:r>
            <w:r>
              <w:rPr>
                <w:spacing w:val="-2"/>
                <w:sz w:val="16"/>
                <w:u w:val="single"/>
              </w:rPr>
              <w:t>1.060.489,00</w:t>
            </w:r>
            <w:r>
              <w:rPr>
                <w:sz w:val="16"/>
                <w:u w:val="single"/>
              </w:rPr>
              <w:tab/>
            </w:r>
          </w:p>
        </w:tc>
        <w:tc>
          <w:tcPr>
            <w:tcW w:w="1011" w:type="dxa"/>
          </w:tcPr>
          <w:p>
            <w:pPr>
              <w:pStyle w:val="TableParagraph"/>
              <w:spacing w:before="28"/>
              <w:ind w:left="238" w:right="-29"/>
              <w:rPr>
                <w:sz w:val="16"/>
              </w:rPr>
            </w:pPr>
            <w:r>
              <w:rPr>
                <w:spacing w:val="-2"/>
                <w:sz w:val="16"/>
                <w:u w:val="single"/>
              </w:rPr>
              <w:t>406.972,00</w:t>
            </w:r>
            <w:r>
              <w:rPr>
                <w:spacing w:val="80"/>
                <w:sz w:val="16"/>
                <w:u w:val="single"/>
              </w:rPr>
              <w:t> </w:t>
            </w:r>
          </w:p>
        </w:tc>
      </w:tr>
      <w:tr>
        <w:trPr>
          <w:trHeight w:val="211" w:hRule="atLeast"/>
        </w:trPr>
        <w:tc>
          <w:tcPr>
            <w:tcW w:w="4024" w:type="dxa"/>
          </w:tcPr>
          <w:p>
            <w:pPr>
              <w:pStyle w:val="TableParagraph"/>
              <w:spacing w:line="164" w:lineRule="exact" w:before="28"/>
              <w:jc w:val="center"/>
              <w:rPr>
                <w:b/>
                <w:sz w:val="16"/>
              </w:rPr>
            </w:pPr>
            <w:r>
              <w:rPr>
                <w:b/>
                <w:spacing w:val="-2"/>
                <w:sz w:val="16"/>
              </w:rPr>
              <w:t>Total</w:t>
            </w:r>
          </w:p>
        </w:tc>
        <w:tc>
          <w:tcPr>
            <w:tcW w:w="1392" w:type="dxa"/>
          </w:tcPr>
          <w:p>
            <w:pPr>
              <w:pStyle w:val="TableParagraph"/>
              <w:spacing w:line="164" w:lineRule="exact" w:before="28"/>
              <w:ind w:left="310"/>
              <w:rPr>
                <w:b/>
                <w:sz w:val="16"/>
              </w:rPr>
            </w:pPr>
            <w:r>
              <w:rPr>
                <w:b/>
                <w:spacing w:val="-2"/>
                <w:sz w:val="16"/>
              </w:rPr>
              <w:t>1.060.489,00</w:t>
            </w:r>
          </w:p>
        </w:tc>
        <w:tc>
          <w:tcPr>
            <w:tcW w:w="1011" w:type="dxa"/>
          </w:tcPr>
          <w:p>
            <w:pPr>
              <w:pStyle w:val="TableParagraph"/>
              <w:spacing w:line="164" w:lineRule="exact" w:before="28"/>
              <w:ind w:left="238"/>
              <w:rPr>
                <w:b/>
                <w:sz w:val="16"/>
              </w:rPr>
            </w:pPr>
            <w:r>
              <w:rPr>
                <w:b/>
                <w:spacing w:val="-2"/>
                <w:sz w:val="16"/>
              </w:rPr>
              <w:t>406.972,00</w:t>
            </w:r>
          </w:p>
        </w:tc>
      </w:tr>
    </w:tbl>
    <w:p>
      <w:pPr>
        <w:pStyle w:val="BodyText"/>
        <w:spacing w:before="2"/>
      </w:pPr>
    </w:p>
    <w:p>
      <w:pPr>
        <w:pStyle w:val="ListParagraph"/>
        <w:numPr>
          <w:ilvl w:val="0"/>
          <w:numId w:val="12"/>
        </w:numPr>
        <w:tabs>
          <w:tab w:pos="1354" w:val="left" w:leader="none"/>
        </w:tabs>
        <w:spacing w:line="240" w:lineRule="auto" w:before="0" w:after="0"/>
        <w:ind w:left="1354" w:right="0" w:hanging="359"/>
        <w:jc w:val="left"/>
        <w:rPr>
          <w:sz w:val="22"/>
        </w:rPr>
      </w:pPr>
      <w:r>
        <w:rPr>
          <w:sz w:val="22"/>
        </w:rPr>
        <w:t>No</w:t>
      </w:r>
      <w:r>
        <w:rPr>
          <w:spacing w:val="-6"/>
          <w:sz w:val="22"/>
        </w:rPr>
        <w:t> </w:t>
      </w:r>
      <w:r>
        <w:rPr>
          <w:sz w:val="22"/>
        </w:rPr>
        <w:t>hay</w:t>
      </w:r>
      <w:r>
        <w:rPr>
          <w:spacing w:val="-6"/>
          <w:sz w:val="22"/>
        </w:rPr>
        <w:t> </w:t>
      </w:r>
      <w:r>
        <w:rPr>
          <w:sz w:val="22"/>
        </w:rPr>
        <w:t>diferencias</w:t>
      </w:r>
      <w:r>
        <w:rPr>
          <w:spacing w:val="-7"/>
          <w:sz w:val="22"/>
        </w:rPr>
        <w:t> </w:t>
      </w:r>
      <w:r>
        <w:rPr>
          <w:sz w:val="22"/>
        </w:rPr>
        <w:t>temporarias</w:t>
      </w:r>
      <w:r>
        <w:rPr>
          <w:spacing w:val="-6"/>
          <w:sz w:val="22"/>
        </w:rPr>
        <w:t> </w:t>
      </w:r>
      <w:r>
        <w:rPr>
          <w:sz w:val="22"/>
        </w:rPr>
        <w:t>en</w:t>
      </w:r>
      <w:r>
        <w:rPr>
          <w:spacing w:val="-7"/>
          <w:sz w:val="22"/>
        </w:rPr>
        <w:t> </w:t>
      </w:r>
      <w:r>
        <w:rPr>
          <w:sz w:val="22"/>
        </w:rPr>
        <w:t>el</w:t>
      </w:r>
      <w:r>
        <w:rPr>
          <w:spacing w:val="-6"/>
          <w:sz w:val="22"/>
        </w:rPr>
        <w:t> </w:t>
      </w:r>
      <w:r>
        <w:rPr>
          <w:sz w:val="22"/>
        </w:rPr>
        <w:t>ejercicio</w:t>
      </w:r>
      <w:r>
        <w:rPr>
          <w:spacing w:val="-6"/>
          <w:sz w:val="22"/>
        </w:rPr>
        <w:t> </w:t>
      </w:r>
      <w:r>
        <w:rPr>
          <w:sz w:val="22"/>
        </w:rPr>
        <w:t>2025.</w:t>
      </w:r>
      <w:r>
        <w:rPr>
          <w:spacing w:val="-7"/>
          <w:sz w:val="22"/>
        </w:rPr>
        <w:t> </w:t>
      </w:r>
      <w:r>
        <w:rPr>
          <w:sz w:val="22"/>
        </w:rPr>
        <w:t>Ni</w:t>
      </w:r>
      <w:r>
        <w:rPr>
          <w:spacing w:val="-6"/>
          <w:sz w:val="22"/>
        </w:rPr>
        <w:t> </w:t>
      </w:r>
      <w:r>
        <w:rPr>
          <w:sz w:val="22"/>
        </w:rPr>
        <w:t>tampoco</w:t>
      </w:r>
      <w:r>
        <w:rPr>
          <w:spacing w:val="-7"/>
          <w:sz w:val="22"/>
        </w:rPr>
        <w:t> </w:t>
      </w:r>
      <w:r>
        <w:rPr>
          <w:sz w:val="22"/>
        </w:rPr>
        <w:t>las</w:t>
      </w:r>
      <w:r>
        <w:rPr>
          <w:spacing w:val="-7"/>
          <w:sz w:val="22"/>
        </w:rPr>
        <w:t> </w:t>
      </w:r>
      <w:r>
        <w:rPr>
          <w:sz w:val="22"/>
        </w:rPr>
        <w:t>hubo</w:t>
      </w:r>
      <w:r>
        <w:rPr>
          <w:spacing w:val="-6"/>
          <w:sz w:val="22"/>
        </w:rPr>
        <w:t> </w:t>
      </w:r>
      <w:r>
        <w:rPr>
          <w:sz w:val="22"/>
        </w:rPr>
        <w:t>en</w:t>
      </w:r>
      <w:r>
        <w:rPr>
          <w:spacing w:val="-6"/>
          <w:sz w:val="22"/>
        </w:rPr>
        <w:t> </w:t>
      </w:r>
      <w:r>
        <w:rPr>
          <w:sz w:val="22"/>
        </w:rPr>
        <w:t>el</w:t>
      </w:r>
      <w:r>
        <w:rPr>
          <w:spacing w:val="-7"/>
          <w:sz w:val="22"/>
        </w:rPr>
        <w:t> </w:t>
      </w:r>
      <w:r>
        <w:rPr>
          <w:sz w:val="22"/>
        </w:rPr>
        <w:t>ejercicio</w:t>
      </w:r>
      <w:r>
        <w:rPr>
          <w:spacing w:val="-5"/>
          <w:sz w:val="22"/>
        </w:rPr>
        <w:t> </w:t>
      </w:r>
      <w:r>
        <w:rPr>
          <w:spacing w:val="-2"/>
          <w:sz w:val="22"/>
        </w:rPr>
        <w:t>2024.</w:t>
      </w:r>
    </w:p>
    <w:p>
      <w:pPr>
        <w:pStyle w:val="BodyText"/>
        <w:spacing w:before="9"/>
      </w:pPr>
    </w:p>
    <w:p>
      <w:pPr>
        <w:pStyle w:val="ListParagraph"/>
        <w:numPr>
          <w:ilvl w:val="0"/>
          <w:numId w:val="12"/>
        </w:numPr>
        <w:tabs>
          <w:tab w:pos="1354" w:val="left" w:leader="none"/>
        </w:tabs>
        <w:spacing w:line="240" w:lineRule="auto" w:before="0" w:after="0"/>
        <w:ind w:left="1354" w:right="0" w:hanging="359"/>
        <w:jc w:val="left"/>
        <w:rPr>
          <w:sz w:val="22"/>
        </w:rPr>
      </w:pPr>
      <w:r>
        <w:rPr>
          <w:sz w:val="22"/>
        </w:rPr>
        <w:t>La</w:t>
      </w:r>
      <w:r>
        <w:rPr>
          <w:spacing w:val="-7"/>
          <w:sz w:val="22"/>
        </w:rPr>
        <w:t> </w:t>
      </w:r>
      <w:r>
        <w:rPr>
          <w:sz w:val="22"/>
        </w:rPr>
        <w:t>Sociedad</w:t>
      </w:r>
      <w:r>
        <w:rPr>
          <w:spacing w:val="-5"/>
          <w:sz w:val="22"/>
        </w:rPr>
        <w:t> </w:t>
      </w:r>
      <w:r>
        <w:rPr>
          <w:sz w:val="22"/>
        </w:rPr>
        <w:t>no</w:t>
      </w:r>
      <w:r>
        <w:rPr>
          <w:spacing w:val="-6"/>
          <w:sz w:val="22"/>
        </w:rPr>
        <w:t> </w:t>
      </w:r>
      <w:r>
        <w:rPr>
          <w:sz w:val="22"/>
        </w:rPr>
        <w:t>tiene</w:t>
      </w:r>
      <w:r>
        <w:rPr>
          <w:spacing w:val="-6"/>
          <w:sz w:val="22"/>
        </w:rPr>
        <w:t> </w:t>
      </w:r>
      <w:r>
        <w:rPr>
          <w:sz w:val="22"/>
        </w:rPr>
        <w:t>pérdidas</w:t>
      </w:r>
      <w:r>
        <w:rPr>
          <w:spacing w:val="-6"/>
          <w:sz w:val="22"/>
        </w:rPr>
        <w:t> </w:t>
      </w:r>
      <w:r>
        <w:rPr>
          <w:sz w:val="22"/>
        </w:rPr>
        <w:t>a</w:t>
      </w:r>
      <w:r>
        <w:rPr>
          <w:spacing w:val="-7"/>
          <w:sz w:val="22"/>
        </w:rPr>
        <w:t> </w:t>
      </w:r>
      <w:r>
        <w:rPr>
          <w:sz w:val="22"/>
        </w:rPr>
        <w:t>compensar</w:t>
      </w:r>
      <w:r>
        <w:rPr>
          <w:spacing w:val="-6"/>
          <w:sz w:val="22"/>
        </w:rPr>
        <w:t> </w:t>
      </w:r>
      <w:r>
        <w:rPr>
          <w:sz w:val="22"/>
        </w:rPr>
        <w:t>de</w:t>
      </w:r>
      <w:r>
        <w:rPr>
          <w:spacing w:val="-6"/>
          <w:sz w:val="22"/>
        </w:rPr>
        <w:t> </w:t>
      </w:r>
      <w:r>
        <w:rPr>
          <w:sz w:val="22"/>
        </w:rPr>
        <w:t>ejercicios</w:t>
      </w:r>
      <w:r>
        <w:rPr>
          <w:spacing w:val="-6"/>
          <w:sz w:val="22"/>
        </w:rPr>
        <w:t> </w:t>
      </w:r>
      <w:r>
        <w:rPr>
          <w:spacing w:val="-2"/>
          <w:sz w:val="22"/>
        </w:rPr>
        <w:t>anteriores.</w:t>
      </w:r>
    </w:p>
    <w:p>
      <w:pPr>
        <w:pStyle w:val="BodyText"/>
        <w:spacing w:before="7"/>
      </w:pPr>
    </w:p>
    <w:p>
      <w:pPr>
        <w:pStyle w:val="ListParagraph"/>
        <w:numPr>
          <w:ilvl w:val="0"/>
          <w:numId w:val="12"/>
        </w:numPr>
        <w:tabs>
          <w:tab w:pos="1355" w:val="left" w:leader="none"/>
        </w:tabs>
        <w:spacing w:line="244" w:lineRule="auto" w:before="1" w:after="0"/>
        <w:ind w:left="1355" w:right="824" w:hanging="360"/>
        <w:jc w:val="both"/>
        <w:rPr>
          <w:sz w:val="22"/>
        </w:rPr>
      </w:pPr>
      <w:r>
        <w:rPr>
          <w:sz w:val="22"/>
        </w:rPr>
        <w:t>La Sociedad constituirá por este importe la reserva de capitalización que tendrá carácter indisponible para los próximos 3 años, tal y como se expresa en el art 25 de la Ley 27/2014 del Impuesto sobre Sociedades.</w:t>
      </w:r>
    </w:p>
    <w:p>
      <w:pPr>
        <w:pStyle w:val="ListParagraph"/>
        <w:numPr>
          <w:ilvl w:val="0"/>
          <w:numId w:val="12"/>
        </w:numPr>
        <w:tabs>
          <w:tab w:pos="1355" w:val="left" w:leader="none"/>
        </w:tabs>
        <w:spacing w:line="244" w:lineRule="auto" w:before="250" w:after="0"/>
        <w:ind w:left="1355" w:right="820" w:hanging="360"/>
        <w:jc w:val="both"/>
        <w:rPr>
          <w:sz w:val="22"/>
        </w:rPr>
      </w:pPr>
      <w:r>
        <w:rPr>
          <w:sz w:val="22"/>
        </w:rPr>
        <w:t>La</w:t>
      </w:r>
      <w:r>
        <w:rPr>
          <w:spacing w:val="-6"/>
          <w:sz w:val="22"/>
        </w:rPr>
        <w:t> </w:t>
      </w:r>
      <w:r>
        <w:rPr>
          <w:sz w:val="22"/>
        </w:rPr>
        <w:t>Sociedad</w:t>
      </w:r>
      <w:r>
        <w:rPr>
          <w:spacing w:val="-6"/>
          <w:sz w:val="22"/>
        </w:rPr>
        <w:t> </w:t>
      </w:r>
      <w:r>
        <w:rPr>
          <w:sz w:val="22"/>
        </w:rPr>
        <w:t>no</w:t>
      </w:r>
      <w:r>
        <w:rPr>
          <w:spacing w:val="-6"/>
          <w:sz w:val="22"/>
        </w:rPr>
        <w:t> </w:t>
      </w:r>
      <w:r>
        <w:rPr>
          <w:sz w:val="22"/>
        </w:rPr>
        <w:t>aplicó</w:t>
      </w:r>
      <w:r>
        <w:rPr>
          <w:spacing w:val="-5"/>
          <w:sz w:val="22"/>
        </w:rPr>
        <w:t> </w:t>
      </w:r>
      <w:r>
        <w:rPr>
          <w:sz w:val="22"/>
        </w:rPr>
        <w:t>incentivos</w:t>
      </w:r>
      <w:r>
        <w:rPr>
          <w:spacing w:val="-5"/>
          <w:sz w:val="22"/>
        </w:rPr>
        <w:t> </w:t>
      </w:r>
      <w:r>
        <w:rPr>
          <w:sz w:val="22"/>
        </w:rPr>
        <w:t>fiscales</w:t>
      </w:r>
      <w:r>
        <w:rPr>
          <w:spacing w:val="-7"/>
          <w:sz w:val="22"/>
        </w:rPr>
        <w:t> </w:t>
      </w:r>
      <w:r>
        <w:rPr>
          <w:sz w:val="22"/>
        </w:rPr>
        <w:t>por</w:t>
      </w:r>
      <w:r>
        <w:rPr>
          <w:spacing w:val="-7"/>
          <w:sz w:val="22"/>
        </w:rPr>
        <w:t> </w:t>
      </w:r>
      <w:r>
        <w:rPr>
          <w:sz w:val="22"/>
        </w:rPr>
        <w:t>este</w:t>
      </w:r>
      <w:r>
        <w:rPr>
          <w:spacing w:val="-6"/>
          <w:sz w:val="22"/>
        </w:rPr>
        <w:t> </w:t>
      </w:r>
      <w:r>
        <w:rPr>
          <w:sz w:val="22"/>
        </w:rPr>
        <w:t>concepto</w:t>
      </w:r>
      <w:r>
        <w:rPr>
          <w:spacing w:val="-4"/>
          <w:sz w:val="22"/>
        </w:rPr>
        <w:t> </w:t>
      </w:r>
      <w:r>
        <w:rPr>
          <w:sz w:val="22"/>
        </w:rPr>
        <w:t>durante</w:t>
      </w:r>
      <w:r>
        <w:rPr>
          <w:spacing w:val="-6"/>
          <w:sz w:val="22"/>
        </w:rPr>
        <w:t> </w:t>
      </w:r>
      <w:r>
        <w:rPr>
          <w:sz w:val="22"/>
        </w:rPr>
        <w:t>el</w:t>
      </w:r>
      <w:r>
        <w:rPr>
          <w:spacing w:val="-7"/>
          <w:sz w:val="22"/>
        </w:rPr>
        <w:t> </w:t>
      </w:r>
      <w:r>
        <w:rPr>
          <w:sz w:val="22"/>
        </w:rPr>
        <w:t>ejercicio</w:t>
      </w:r>
      <w:r>
        <w:rPr>
          <w:spacing w:val="-6"/>
          <w:sz w:val="22"/>
        </w:rPr>
        <w:t> </w:t>
      </w:r>
      <w:r>
        <w:rPr>
          <w:sz w:val="22"/>
        </w:rPr>
        <w:t>2025.</w:t>
      </w:r>
      <w:r>
        <w:rPr>
          <w:spacing w:val="-6"/>
          <w:sz w:val="22"/>
        </w:rPr>
        <w:t> </w:t>
      </w:r>
      <w:r>
        <w:rPr>
          <w:sz w:val="22"/>
        </w:rPr>
        <w:t>Tampoco</w:t>
      </w:r>
      <w:r>
        <w:rPr>
          <w:spacing w:val="-7"/>
          <w:sz w:val="22"/>
        </w:rPr>
        <w:t> </w:t>
      </w:r>
      <w:r>
        <w:rPr>
          <w:sz w:val="22"/>
        </w:rPr>
        <w:t>se aplicaron para el ejercicio 2024.</w:t>
      </w:r>
    </w:p>
    <w:p>
      <w:pPr>
        <w:pStyle w:val="ListParagraph"/>
        <w:spacing w:after="0" w:line="244" w:lineRule="auto"/>
        <w:jc w:val="both"/>
        <w:rPr>
          <w:sz w:val="22"/>
        </w:rPr>
        <w:sectPr>
          <w:pgSz w:w="11910" w:h="16840"/>
          <w:pgMar w:header="694" w:footer="690" w:top="1920" w:bottom="880" w:left="708" w:right="425"/>
        </w:sectPr>
      </w:pPr>
    </w:p>
    <w:p>
      <w:pPr>
        <w:pStyle w:val="ListParagraph"/>
        <w:numPr>
          <w:ilvl w:val="0"/>
          <w:numId w:val="12"/>
        </w:numPr>
        <w:tabs>
          <w:tab w:pos="1355" w:val="left" w:leader="none"/>
        </w:tabs>
        <w:spacing w:line="244" w:lineRule="auto" w:before="187" w:after="0"/>
        <w:ind w:left="1355" w:right="824" w:hanging="360"/>
        <w:jc w:val="both"/>
        <w:rPr>
          <w:sz w:val="22"/>
        </w:rPr>
      </w:pPr>
      <w:r>
        <w:rPr>
          <w:sz w:val="22"/>
        </w:rPr>
        <w:t>La Sociedad no aplicó deducciones durante el ejercicio 2025. Tampoco se aplicaron para el ejercicio 2024.</w:t>
      </w:r>
    </w:p>
    <w:p>
      <w:pPr>
        <w:pStyle w:val="ListParagraph"/>
        <w:numPr>
          <w:ilvl w:val="0"/>
          <w:numId w:val="12"/>
        </w:numPr>
        <w:tabs>
          <w:tab w:pos="1351" w:val="left" w:leader="none"/>
        </w:tabs>
        <w:spacing w:line="244" w:lineRule="auto" w:before="208" w:after="0"/>
        <w:ind w:left="1351" w:right="819" w:hanging="358"/>
        <w:jc w:val="both"/>
        <w:rPr>
          <w:sz w:val="22"/>
        </w:rPr>
      </w:pPr>
      <w:r>
        <w:rPr>
          <w:sz w:val="22"/>
        </w:rPr>
        <w:t>La Sociedad ha aplicado un tipo</w:t>
      </w:r>
      <w:r>
        <w:rPr>
          <w:spacing w:val="-1"/>
          <w:sz w:val="22"/>
        </w:rPr>
        <w:t> </w:t>
      </w:r>
      <w:r>
        <w:rPr>
          <w:sz w:val="22"/>
        </w:rPr>
        <w:t>de gravamen reducido por tramos de acuerdo al art. 29 de la Ley 27/2014 del Impuesto de Sociedades para el ejercicio 2025. En el ejercicio 2024 aplicó el tipo reducido del 23%.</w:t>
      </w:r>
    </w:p>
    <w:p>
      <w:pPr>
        <w:pStyle w:val="ListParagraph"/>
        <w:numPr>
          <w:ilvl w:val="0"/>
          <w:numId w:val="12"/>
        </w:numPr>
        <w:tabs>
          <w:tab w:pos="1354" w:val="left" w:leader="none"/>
        </w:tabs>
        <w:spacing w:line="240" w:lineRule="auto" w:before="212" w:after="0"/>
        <w:ind w:left="1354" w:right="0" w:hanging="359"/>
        <w:jc w:val="left"/>
        <w:rPr>
          <w:sz w:val="22"/>
        </w:rPr>
      </w:pPr>
      <w:r>
        <w:rPr>
          <w:sz w:val="22"/>
        </w:rPr>
        <w:t>El</w:t>
      </w:r>
      <w:r>
        <w:rPr>
          <w:spacing w:val="-6"/>
          <w:sz w:val="22"/>
        </w:rPr>
        <w:t> </w:t>
      </w:r>
      <w:r>
        <w:rPr>
          <w:sz w:val="22"/>
        </w:rPr>
        <w:t>impuesto</w:t>
      </w:r>
      <w:r>
        <w:rPr>
          <w:spacing w:val="-6"/>
          <w:sz w:val="22"/>
        </w:rPr>
        <w:t> </w:t>
      </w:r>
      <w:r>
        <w:rPr>
          <w:sz w:val="22"/>
        </w:rPr>
        <w:t>sobre</w:t>
      </w:r>
      <w:r>
        <w:rPr>
          <w:spacing w:val="-7"/>
          <w:sz w:val="22"/>
        </w:rPr>
        <w:t> </w:t>
      </w:r>
      <w:r>
        <w:rPr>
          <w:sz w:val="22"/>
        </w:rPr>
        <w:t>beneficios</w:t>
      </w:r>
      <w:r>
        <w:rPr>
          <w:spacing w:val="-6"/>
          <w:sz w:val="22"/>
        </w:rPr>
        <w:t> </w:t>
      </w:r>
      <w:r>
        <w:rPr>
          <w:sz w:val="22"/>
        </w:rPr>
        <w:t>a</w:t>
      </w:r>
      <w:r>
        <w:rPr>
          <w:spacing w:val="-7"/>
          <w:sz w:val="22"/>
        </w:rPr>
        <w:t> </w:t>
      </w:r>
      <w:r>
        <w:rPr>
          <w:sz w:val="22"/>
        </w:rPr>
        <w:t>pagar</w:t>
      </w:r>
      <w:r>
        <w:rPr>
          <w:spacing w:val="-6"/>
          <w:sz w:val="22"/>
        </w:rPr>
        <w:t> </w:t>
      </w:r>
      <w:r>
        <w:rPr>
          <w:sz w:val="22"/>
        </w:rPr>
        <w:t>tiene</w:t>
      </w:r>
      <w:r>
        <w:rPr>
          <w:spacing w:val="-6"/>
          <w:sz w:val="22"/>
        </w:rPr>
        <w:t> </w:t>
      </w:r>
      <w:r>
        <w:rPr>
          <w:sz w:val="22"/>
        </w:rPr>
        <w:t>esta</w:t>
      </w:r>
      <w:r>
        <w:rPr>
          <w:spacing w:val="-7"/>
          <w:sz w:val="22"/>
        </w:rPr>
        <w:t> </w:t>
      </w:r>
      <w:r>
        <w:rPr>
          <w:spacing w:val="-2"/>
          <w:sz w:val="22"/>
        </w:rPr>
        <w:t>composición:</w:t>
      </w:r>
    </w:p>
    <w:p>
      <w:pPr>
        <w:pStyle w:val="BodyText"/>
        <w:spacing w:before="30"/>
        <w:rPr>
          <w:sz w:val="20"/>
        </w:rPr>
      </w:pPr>
    </w:p>
    <w:tbl>
      <w:tblPr>
        <w:tblW w:w="0" w:type="auto"/>
        <w:jc w:val="left"/>
        <w:tblInd w:w="3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73"/>
        <w:gridCol w:w="1261"/>
        <w:gridCol w:w="1009"/>
      </w:tblGrid>
      <w:tr>
        <w:trPr>
          <w:trHeight w:val="211" w:hRule="atLeast"/>
        </w:trPr>
        <w:tc>
          <w:tcPr>
            <w:tcW w:w="2273" w:type="dxa"/>
          </w:tcPr>
          <w:p>
            <w:pPr>
              <w:pStyle w:val="TableParagraph"/>
              <w:tabs>
                <w:tab w:pos="2165" w:val="left" w:leader="none"/>
                <w:tab w:pos="2605" w:val="left" w:leader="none"/>
              </w:tabs>
              <w:spacing w:line="177" w:lineRule="exact"/>
              <w:ind w:left="179" w:right="-346"/>
              <w:rPr>
                <w:b/>
                <w:sz w:val="16"/>
              </w:rPr>
            </w:pPr>
            <w:r>
              <w:rPr>
                <w:b/>
                <w:sz w:val="16"/>
              </w:rPr>
              <w:t>Impuesto</w:t>
            </w:r>
            <w:r>
              <w:rPr>
                <w:b/>
                <w:spacing w:val="-6"/>
                <w:sz w:val="16"/>
              </w:rPr>
              <w:t> </w:t>
            </w:r>
            <w:r>
              <w:rPr>
                <w:b/>
                <w:sz w:val="16"/>
              </w:rPr>
              <w:t>sobre</w:t>
            </w:r>
            <w:r>
              <w:rPr>
                <w:b/>
                <w:spacing w:val="-6"/>
                <w:sz w:val="16"/>
              </w:rPr>
              <w:t> </w:t>
            </w:r>
            <w:r>
              <w:rPr>
                <w:b/>
                <w:spacing w:val="-2"/>
                <w:sz w:val="16"/>
              </w:rPr>
              <w:t>Beneficios</w:t>
            </w:r>
            <w:r>
              <w:rPr>
                <w:b/>
                <w:sz w:val="16"/>
              </w:rPr>
              <w:tab/>
            </w:r>
            <w:r>
              <w:rPr>
                <w:b/>
                <w:sz w:val="16"/>
                <w:u w:val="single"/>
              </w:rPr>
              <w:tab/>
            </w:r>
          </w:p>
        </w:tc>
        <w:tc>
          <w:tcPr>
            <w:tcW w:w="1261" w:type="dxa"/>
          </w:tcPr>
          <w:p>
            <w:pPr>
              <w:pStyle w:val="TableParagraph"/>
              <w:tabs>
                <w:tab w:pos="1532" w:val="left" w:leader="none"/>
              </w:tabs>
              <w:spacing w:line="177" w:lineRule="exact"/>
              <w:ind w:left="332" w:right="-274"/>
              <w:rPr>
                <w:b/>
                <w:sz w:val="16"/>
              </w:rPr>
            </w:pPr>
            <w:r>
              <w:rPr>
                <w:b/>
                <w:spacing w:val="-4"/>
                <w:sz w:val="16"/>
                <w:u w:val="single"/>
              </w:rPr>
              <w:t>2025</w:t>
            </w:r>
            <w:r>
              <w:rPr>
                <w:b/>
                <w:sz w:val="16"/>
                <w:u w:val="single"/>
              </w:rPr>
              <w:tab/>
            </w:r>
          </w:p>
        </w:tc>
        <w:tc>
          <w:tcPr>
            <w:tcW w:w="1009" w:type="dxa"/>
          </w:tcPr>
          <w:p>
            <w:pPr>
              <w:pStyle w:val="TableParagraph"/>
              <w:tabs>
                <w:tab w:pos="1032" w:val="left" w:leader="none"/>
              </w:tabs>
              <w:spacing w:line="177" w:lineRule="exact"/>
              <w:ind w:left="271" w:right="-29"/>
              <w:rPr>
                <w:b/>
                <w:sz w:val="16"/>
              </w:rPr>
            </w:pPr>
            <w:r>
              <w:rPr>
                <w:b/>
                <w:spacing w:val="-4"/>
                <w:sz w:val="16"/>
                <w:u w:val="single"/>
              </w:rPr>
              <w:t>2024</w:t>
            </w:r>
            <w:r>
              <w:rPr>
                <w:b/>
                <w:sz w:val="16"/>
                <w:u w:val="single"/>
              </w:rPr>
              <w:tab/>
            </w:r>
          </w:p>
        </w:tc>
      </w:tr>
      <w:tr>
        <w:trPr>
          <w:trHeight w:val="237" w:hRule="atLeast"/>
        </w:trPr>
        <w:tc>
          <w:tcPr>
            <w:tcW w:w="2273" w:type="dxa"/>
          </w:tcPr>
          <w:p>
            <w:pPr>
              <w:pStyle w:val="TableParagraph"/>
              <w:spacing w:before="28"/>
              <w:ind w:left="50"/>
              <w:rPr>
                <w:sz w:val="16"/>
              </w:rPr>
            </w:pPr>
            <w:r>
              <w:rPr>
                <w:sz w:val="16"/>
              </w:rPr>
              <w:t>Gastos</w:t>
            </w:r>
            <w:r>
              <w:rPr>
                <w:spacing w:val="-6"/>
                <w:sz w:val="16"/>
              </w:rPr>
              <w:t> </w:t>
            </w:r>
            <w:r>
              <w:rPr>
                <w:sz w:val="16"/>
              </w:rPr>
              <w:t>por</w:t>
            </w:r>
            <w:r>
              <w:rPr>
                <w:spacing w:val="-5"/>
                <w:sz w:val="16"/>
              </w:rPr>
              <w:t> </w:t>
            </w:r>
            <w:r>
              <w:rPr>
                <w:sz w:val="16"/>
              </w:rPr>
              <w:t>impuesto</w:t>
            </w:r>
            <w:r>
              <w:rPr>
                <w:spacing w:val="-5"/>
                <w:sz w:val="16"/>
              </w:rPr>
              <w:t> </w:t>
            </w:r>
            <w:r>
              <w:rPr>
                <w:spacing w:val="-2"/>
                <w:sz w:val="16"/>
              </w:rPr>
              <w:t>corriente</w:t>
            </w:r>
          </w:p>
        </w:tc>
        <w:tc>
          <w:tcPr>
            <w:tcW w:w="1261" w:type="dxa"/>
          </w:tcPr>
          <w:p>
            <w:pPr>
              <w:pStyle w:val="TableParagraph"/>
              <w:spacing w:before="28"/>
              <w:ind w:left="302"/>
              <w:rPr>
                <w:sz w:val="16"/>
              </w:rPr>
            </w:pPr>
            <w:r>
              <w:rPr>
                <w:spacing w:val="-2"/>
                <w:sz w:val="16"/>
              </w:rPr>
              <w:t>390.764,66</w:t>
            </w:r>
          </w:p>
        </w:tc>
        <w:tc>
          <w:tcPr>
            <w:tcW w:w="1009" w:type="dxa"/>
          </w:tcPr>
          <w:p>
            <w:pPr>
              <w:pStyle w:val="TableParagraph"/>
              <w:spacing w:before="28"/>
              <w:ind w:left="241"/>
              <w:rPr>
                <w:sz w:val="16"/>
              </w:rPr>
            </w:pPr>
            <w:r>
              <w:rPr>
                <w:spacing w:val="-2"/>
                <w:sz w:val="16"/>
              </w:rPr>
              <w:t>412.337,79</w:t>
            </w:r>
          </w:p>
        </w:tc>
      </w:tr>
      <w:tr>
        <w:trPr>
          <w:trHeight w:val="236" w:hRule="atLeast"/>
        </w:trPr>
        <w:tc>
          <w:tcPr>
            <w:tcW w:w="2273" w:type="dxa"/>
          </w:tcPr>
          <w:p>
            <w:pPr>
              <w:pStyle w:val="TableParagraph"/>
              <w:tabs>
                <w:tab w:pos="2165" w:val="left" w:leader="none"/>
                <w:tab w:pos="4601" w:val="left" w:leader="none"/>
              </w:tabs>
              <w:spacing w:before="18"/>
              <w:ind w:left="50" w:right="-2333"/>
              <w:rPr>
                <w:sz w:val="16"/>
              </w:rPr>
            </w:pPr>
            <w:r>
              <w:rPr>
                <w:sz w:val="16"/>
              </w:rPr>
              <w:t>Gastos</w:t>
            </w:r>
            <w:r>
              <w:rPr>
                <w:spacing w:val="-6"/>
                <w:sz w:val="16"/>
              </w:rPr>
              <w:t> </w:t>
            </w:r>
            <w:r>
              <w:rPr>
                <w:sz w:val="16"/>
              </w:rPr>
              <w:t>por</w:t>
            </w:r>
            <w:r>
              <w:rPr>
                <w:spacing w:val="-5"/>
                <w:sz w:val="16"/>
              </w:rPr>
              <w:t> </w:t>
            </w:r>
            <w:r>
              <w:rPr>
                <w:sz w:val="16"/>
              </w:rPr>
              <w:t>impuesto</w:t>
            </w:r>
            <w:r>
              <w:rPr>
                <w:spacing w:val="-5"/>
                <w:sz w:val="16"/>
              </w:rPr>
              <w:t> </w:t>
            </w:r>
            <w:r>
              <w:rPr>
                <w:spacing w:val="-2"/>
                <w:sz w:val="16"/>
              </w:rPr>
              <w:t>diferido</w:t>
            </w:r>
            <w:r>
              <w:rPr>
                <w:sz w:val="16"/>
              </w:rPr>
              <w:tab/>
            </w:r>
            <w:r>
              <w:rPr>
                <w:sz w:val="16"/>
                <w:u w:val="single"/>
              </w:rPr>
              <w:tab/>
            </w:r>
          </w:p>
        </w:tc>
        <w:tc>
          <w:tcPr>
            <w:tcW w:w="1261" w:type="dxa"/>
          </w:tcPr>
          <w:p>
            <w:pPr>
              <w:pStyle w:val="TableParagraph"/>
              <w:rPr>
                <w:sz w:val="16"/>
              </w:rPr>
            </w:pPr>
          </w:p>
        </w:tc>
        <w:tc>
          <w:tcPr>
            <w:tcW w:w="1009" w:type="dxa"/>
          </w:tcPr>
          <w:p>
            <w:pPr>
              <w:pStyle w:val="TableParagraph"/>
              <w:rPr>
                <w:sz w:val="16"/>
              </w:rPr>
            </w:pPr>
          </w:p>
        </w:tc>
      </w:tr>
      <w:tr>
        <w:trPr>
          <w:trHeight w:val="211" w:hRule="atLeast"/>
        </w:trPr>
        <w:tc>
          <w:tcPr>
            <w:tcW w:w="2273" w:type="dxa"/>
          </w:tcPr>
          <w:p>
            <w:pPr>
              <w:pStyle w:val="TableParagraph"/>
              <w:spacing w:line="164" w:lineRule="exact" w:before="28"/>
              <w:ind w:right="126"/>
              <w:jc w:val="center"/>
              <w:rPr>
                <w:b/>
                <w:sz w:val="16"/>
              </w:rPr>
            </w:pPr>
            <w:r>
              <w:rPr>
                <w:b/>
                <w:spacing w:val="-2"/>
                <w:sz w:val="16"/>
              </w:rPr>
              <w:t>Total</w:t>
            </w:r>
          </w:p>
        </w:tc>
        <w:tc>
          <w:tcPr>
            <w:tcW w:w="1261" w:type="dxa"/>
          </w:tcPr>
          <w:p>
            <w:pPr>
              <w:pStyle w:val="TableParagraph"/>
              <w:spacing w:line="164" w:lineRule="exact" w:before="28"/>
              <w:ind w:left="302"/>
              <w:rPr>
                <w:b/>
                <w:sz w:val="16"/>
              </w:rPr>
            </w:pPr>
            <w:r>
              <w:rPr>
                <w:b/>
                <w:spacing w:val="-2"/>
                <w:sz w:val="16"/>
              </w:rPr>
              <w:t>390.764,66</w:t>
            </w:r>
          </w:p>
        </w:tc>
        <w:tc>
          <w:tcPr>
            <w:tcW w:w="1009" w:type="dxa"/>
          </w:tcPr>
          <w:p>
            <w:pPr>
              <w:pStyle w:val="TableParagraph"/>
              <w:spacing w:line="164" w:lineRule="exact" w:before="28"/>
              <w:ind w:left="241"/>
              <w:rPr>
                <w:b/>
                <w:sz w:val="16"/>
              </w:rPr>
            </w:pPr>
            <w:r>
              <w:rPr>
                <w:b/>
                <w:spacing w:val="-2"/>
                <w:sz w:val="16"/>
              </w:rPr>
              <w:t>412.337,79</w:t>
            </w:r>
          </w:p>
        </w:tc>
      </w:tr>
    </w:tbl>
    <w:p>
      <w:pPr>
        <w:pStyle w:val="BodyText"/>
        <w:spacing w:line="247" w:lineRule="auto" w:before="219"/>
        <w:ind w:left="995" w:right="838"/>
        <w:jc w:val="both"/>
      </w:pPr>
      <w:r>
        <w:rPr/>
        <w:t>Según establece la legislación vigente, los impuestos no pueden considerarse definitivamente liquidados hasta que las declaraciones presentadas hayan sido inspeccionadas por las autoridades fiscales o haya transcurrido el plazo de prescripción de cuatro años. Al cierre del ejercicio 2025 la Sociedad</w:t>
      </w:r>
      <w:r>
        <w:rPr>
          <w:spacing w:val="-8"/>
        </w:rPr>
        <w:t> </w:t>
      </w:r>
      <w:r>
        <w:rPr/>
        <w:t>tiene</w:t>
      </w:r>
      <w:r>
        <w:rPr>
          <w:spacing w:val="-8"/>
        </w:rPr>
        <w:t> </w:t>
      </w:r>
      <w:r>
        <w:rPr/>
        <w:t>abiertos</w:t>
      </w:r>
      <w:r>
        <w:rPr>
          <w:spacing w:val="-8"/>
        </w:rPr>
        <w:t> </w:t>
      </w:r>
      <w:r>
        <w:rPr/>
        <w:t>a</w:t>
      </w:r>
      <w:r>
        <w:rPr>
          <w:spacing w:val="-8"/>
        </w:rPr>
        <w:t> </w:t>
      </w:r>
      <w:r>
        <w:rPr/>
        <w:t>inspección</w:t>
      </w:r>
      <w:r>
        <w:rPr>
          <w:spacing w:val="-7"/>
        </w:rPr>
        <w:t> </w:t>
      </w:r>
      <w:r>
        <w:rPr/>
        <w:t>los</w:t>
      </w:r>
      <w:r>
        <w:rPr>
          <w:spacing w:val="-8"/>
        </w:rPr>
        <w:t> </w:t>
      </w:r>
      <w:r>
        <w:rPr/>
        <w:t>ejercicios</w:t>
      </w:r>
      <w:r>
        <w:rPr>
          <w:spacing w:val="-8"/>
        </w:rPr>
        <w:t> </w:t>
      </w:r>
      <w:r>
        <w:rPr/>
        <w:t>2021</w:t>
      </w:r>
      <w:r>
        <w:rPr>
          <w:spacing w:val="-7"/>
        </w:rPr>
        <w:t> </w:t>
      </w:r>
      <w:r>
        <w:rPr/>
        <w:t>y</w:t>
      </w:r>
      <w:r>
        <w:rPr>
          <w:spacing w:val="-8"/>
        </w:rPr>
        <w:t> </w:t>
      </w:r>
      <w:r>
        <w:rPr/>
        <w:t>siguientes</w:t>
      </w:r>
      <w:r>
        <w:rPr>
          <w:spacing w:val="-9"/>
        </w:rPr>
        <w:t> </w:t>
      </w:r>
      <w:r>
        <w:rPr/>
        <w:t>del</w:t>
      </w:r>
      <w:r>
        <w:rPr>
          <w:spacing w:val="-8"/>
        </w:rPr>
        <w:t> </w:t>
      </w:r>
      <w:r>
        <w:rPr/>
        <w:t>Impuesto</w:t>
      </w:r>
      <w:r>
        <w:rPr>
          <w:spacing w:val="-8"/>
        </w:rPr>
        <w:t> </w:t>
      </w:r>
      <w:r>
        <w:rPr/>
        <w:t>sobre</w:t>
      </w:r>
      <w:r>
        <w:rPr>
          <w:spacing w:val="-8"/>
        </w:rPr>
        <w:t> </w:t>
      </w:r>
      <w:r>
        <w:rPr/>
        <w:t>Sociedades</w:t>
      </w:r>
      <w:r>
        <w:rPr>
          <w:spacing w:val="40"/>
        </w:rPr>
        <w:t> </w:t>
      </w:r>
      <w:r>
        <w:rPr/>
        <w:t>y los ejercicios 2022 y siguientes para los demás impuestos que le son de aplicación. Se considera que se han practicado adecuadamente las liquidaciones de</w:t>
      </w:r>
      <w:r>
        <w:rPr>
          <w:spacing w:val="-1"/>
        </w:rPr>
        <w:t> </w:t>
      </w:r>
      <w:r>
        <w:rPr/>
        <w:t>los mencionados impuestos, por</w:t>
      </w:r>
      <w:r>
        <w:rPr>
          <w:spacing w:val="-1"/>
        </w:rPr>
        <w:t> </w:t>
      </w:r>
      <w:r>
        <w:rPr/>
        <w:t>lo</w:t>
      </w:r>
      <w:r>
        <w:rPr>
          <w:spacing w:val="-1"/>
        </w:rPr>
        <w:t> </w:t>
      </w:r>
      <w:r>
        <w:rPr/>
        <w:t>que,</w:t>
      </w:r>
      <w:r>
        <w:rPr>
          <w:spacing w:val="-2"/>
        </w:rPr>
        <w:t> </w:t>
      </w:r>
      <w:r>
        <w:rPr/>
        <w:t>aun en el caso de que surgieran discrepancias en la interpretación de la normativa vigente por el tratamiento fiscal otorgado a las operaciones, los eventuales pasivos resultantes, en caso de materializarse, no afectarían de manera significativa a las cuentas anuales abreviadas adjuntas.</w:t>
      </w:r>
    </w:p>
    <w:p>
      <w:pPr>
        <w:pStyle w:val="BodyText"/>
        <w:spacing w:before="212"/>
      </w:pPr>
    </w:p>
    <w:p>
      <w:pPr>
        <w:pStyle w:val="Heading1"/>
        <w:numPr>
          <w:ilvl w:val="0"/>
          <w:numId w:val="11"/>
        </w:numPr>
        <w:tabs>
          <w:tab w:pos="708" w:val="left" w:leader="none"/>
        </w:tabs>
        <w:spacing w:line="240" w:lineRule="auto" w:before="0" w:after="0"/>
        <w:ind w:left="708" w:right="0" w:hanging="358"/>
        <w:jc w:val="left"/>
      </w:pPr>
      <w:r>
        <w:rPr/>
        <w:t>Información</w:t>
      </w:r>
      <w:r>
        <w:rPr>
          <w:spacing w:val="-6"/>
        </w:rPr>
        <w:t> </w:t>
      </w:r>
      <w:r>
        <w:rPr/>
        <w:t>sobre</w:t>
      </w:r>
      <w:r>
        <w:rPr>
          <w:spacing w:val="-7"/>
        </w:rPr>
        <w:t> </w:t>
      </w:r>
      <w:r>
        <w:rPr/>
        <w:t>el</w:t>
      </w:r>
      <w:r>
        <w:rPr>
          <w:spacing w:val="-7"/>
        </w:rPr>
        <w:t> </w:t>
      </w:r>
      <w:r>
        <w:rPr/>
        <w:t>medio</w:t>
      </w:r>
      <w:r>
        <w:rPr>
          <w:spacing w:val="-7"/>
        </w:rPr>
        <w:t> </w:t>
      </w:r>
      <w:r>
        <w:rPr>
          <w:spacing w:val="-2"/>
        </w:rPr>
        <w:t>ambiente</w:t>
      </w:r>
    </w:p>
    <w:p>
      <w:pPr>
        <w:pStyle w:val="BodyText"/>
        <w:spacing w:before="15"/>
        <w:rPr>
          <w:b/>
        </w:rPr>
      </w:pPr>
    </w:p>
    <w:p>
      <w:pPr>
        <w:pStyle w:val="BodyText"/>
        <w:spacing w:line="247" w:lineRule="auto"/>
        <w:ind w:left="995" w:right="837"/>
        <w:jc w:val="both"/>
      </w:pPr>
      <w:r>
        <w:rPr/>
        <w:t>La Sociedad no posee activos incluidos en el inmovilizado material destinado a la minimización del impacto</w:t>
      </w:r>
      <w:r>
        <w:rPr>
          <w:spacing w:val="-14"/>
        </w:rPr>
        <w:t> </w:t>
      </w:r>
      <w:r>
        <w:rPr/>
        <w:t>medioambiental</w:t>
      </w:r>
      <w:r>
        <w:rPr>
          <w:spacing w:val="-11"/>
        </w:rPr>
        <w:t> </w:t>
      </w:r>
      <w:r>
        <w:rPr/>
        <w:t>y</w:t>
      </w:r>
      <w:r>
        <w:rPr>
          <w:spacing w:val="-12"/>
        </w:rPr>
        <w:t> </w:t>
      </w:r>
      <w:r>
        <w:rPr/>
        <w:t>a</w:t>
      </w:r>
      <w:r>
        <w:rPr>
          <w:spacing w:val="-14"/>
        </w:rPr>
        <w:t> </w:t>
      </w:r>
      <w:r>
        <w:rPr/>
        <w:t>la</w:t>
      </w:r>
      <w:r>
        <w:rPr>
          <w:spacing w:val="-12"/>
        </w:rPr>
        <w:t> </w:t>
      </w:r>
      <w:r>
        <w:rPr/>
        <w:t>protección</w:t>
      </w:r>
      <w:r>
        <w:rPr>
          <w:spacing w:val="-12"/>
        </w:rPr>
        <w:t> </w:t>
      </w:r>
      <w:r>
        <w:rPr/>
        <w:t>y</w:t>
      </w:r>
      <w:r>
        <w:rPr>
          <w:spacing w:val="-13"/>
        </w:rPr>
        <w:t> </w:t>
      </w:r>
      <w:r>
        <w:rPr/>
        <w:t>mejora</w:t>
      </w:r>
      <w:r>
        <w:rPr>
          <w:spacing w:val="-13"/>
        </w:rPr>
        <w:t> </w:t>
      </w:r>
      <w:r>
        <w:rPr/>
        <w:t>del</w:t>
      </w:r>
      <w:r>
        <w:rPr>
          <w:spacing w:val="-14"/>
        </w:rPr>
        <w:t> </w:t>
      </w:r>
      <w:r>
        <w:rPr/>
        <w:t>medio</w:t>
      </w:r>
      <w:r>
        <w:rPr>
          <w:spacing w:val="-12"/>
        </w:rPr>
        <w:t> </w:t>
      </w:r>
      <w:r>
        <w:rPr/>
        <w:t>ambiente,</w:t>
      </w:r>
      <w:r>
        <w:rPr>
          <w:spacing w:val="-14"/>
        </w:rPr>
        <w:t> </w:t>
      </w:r>
      <w:r>
        <w:rPr/>
        <w:t>ni</w:t>
      </w:r>
      <w:r>
        <w:rPr>
          <w:spacing w:val="-12"/>
        </w:rPr>
        <w:t> </w:t>
      </w:r>
      <w:r>
        <w:rPr/>
        <w:t>ha</w:t>
      </w:r>
      <w:r>
        <w:rPr>
          <w:spacing w:val="-13"/>
        </w:rPr>
        <w:t> </w:t>
      </w:r>
      <w:r>
        <w:rPr/>
        <w:t>recibido</w:t>
      </w:r>
      <w:r>
        <w:rPr>
          <w:spacing w:val="-13"/>
        </w:rPr>
        <w:t> </w:t>
      </w:r>
      <w:r>
        <w:rPr/>
        <w:t>subvenciones</w:t>
      </w:r>
      <w:r>
        <w:rPr>
          <w:spacing w:val="-13"/>
        </w:rPr>
        <w:t> </w:t>
      </w:r>
      <w:r>
        <w:rPr/>
        <w:t>al respecto.</w:t>
      </w:r>
      <w:r>
        <w:rPr>
          <w:spacing w:val="-9"/>
        </w:rPr>
        <w:t> </w:t>
      </w:r>
      <w:r>
        <w:rPr/>
        <w:t>Asimismo,</w:t>
      </w:r>
      <w:r>
        <w:rPr>
          <w:spacing w:val="-8"/>
        </w:rPr>
        <w:t> </w:t>
      </w:r>
      <w:r>
        <w:rPr/>
        <w:t>la</w:t>
      </w:r>
      <w:r>
        <w:rPr>
          <w:spacing w:val="-10"/>
        </w:rPr>
        <w:t> </w:t>
      </w:r>
      <w:r>
        <w:rPr/>
        <w:t>Sociedad</w:t>
      </w:r>
      <w:r>
        <w:rPr>
          <w:spacing w:val="-8"/>
        </w:rPr>
        <w:t> </w:t>
      </w:r>
      <w:r>
        <w:rPr/>
        <w:t>no</w:t>
      </w:r>
      <w:r>
        <w:rPr>
          <w:spacing w:val="-10"/>
        </w:rPr>
        <w:t> </w:t>
      </w:r>
      <w:r>
        <w:rPr/>
        <w:t>ha</w:t>
      </w:r>
      <w:r>
        <w:rPr>
          <w:spacing w:val="-10"/>
        </w:rPr>
        <w:t> </w:t>
      </w:r>
      <w:r>
        <w:rPr/>
        <w:t>dotado</w:t>
      </w:r>
      <w:r>
        <w:rPr>
          <w:spacing w:val="-9"/>
        </w:rPr>
        <w:t> </w:t>
      </w:r>
      <w:r>
        <w:rPr/>
        <w:t>provisiones</w:t>
      </w:r>
      <w:r>
        <w:rPr>
          <w:spacing w:val="-9"/>
        </w:rPr>
        <w:t> </w:t>
      </w:r>
      <w:r>
        <w:rPr/>
        <w:t>para</w:t>
      </w:r>
      <w:r>
        <w:rPr>
          <w:spacing w:val="-9"/>
        </w:rPr>
        <w:t> </w:t>
      </w:r>
      <w:r>
        <w:rPr/>
        <w:t>cubrir</w:t>
      </w:r>
      <w:r>
        <w:rPr>
          <w:spacing w:val="-9"/>
        </w:rPr>
        <w:t> </w:t>
      </w:r>
      <w:r>
        <w:rPr/>
        <w:t>riesgos</w:t>
      </w:r>
      <w:r>
        <w:rPr>
          <w:spacing w:val="-9"/>
        </w:rPr>
        <w:t> </w:t>
      </w:r>
      <w:r>
        <w:rPr/>
        <w:t>y</w:t>
      </w:r>
      <w:r>
        <w:rPr>
          <w:spacing w:val="-10"/>
        </w:rPr>
        <w:t> </w:t>
      </w:r>
      <w:r>
        <w:rPr/>
        <w:t>gastos</w:t>
      </w:r>
      <w:r>
        <w:rPr>
          <w:spacing w:val="-9"/>
        </w:rPr>
        <w:t> </w:t>
      </w:r>
      <w:r>
        <w:rPr/>
        <w:t>por</w:t>
      </w:r>
      <w:r>
        <w:rPr>
          <w:spacing w:val="-9"/>
        </w:rPr>
        <w:t> </w:t>
      </w:r>
      <w:r>
        <w:rPr/>
        <w:t>actuaciones medioambientales,</w:t>
      </w:r>
      <w:r>
        <w:rPr>
          <w:spacing w:val="-11"/>
        </w:rPr>
        <w:t> </w:t>
      </w:r>
      <w:r>
        <w:rPr/>
        <w:t>al</w:t>
      </w:r>
      <w:r>
        <w:rPr>
          <w:spacing w:val="-10"/>
        </w:rPr>
        <w:t> </w:t>
      </w:r>
      <w:r>
        <w:rPr/>
        <w:t>estimar</w:t>
      </w:r>
      <w:r>
        <w:rPr>
          <w:spacing w:val="-10"/>
        </w:rPr>
        <w:t> </w:t>
      </w:r>
      <w:r>
        <w:rPr/>
        <w:t>que</w:t>
      </w:r>
      <w:r>
        <w:rPr>
          <w:spacing w:val="-12"/>
        </w:rPr>
        <w:t> </w:t>
      </w:r>
      <w:r>
        <w:rPr/>
        <w:t>no</w:t>
      </w:r>
      <w:r>
        <w:rPr>
          <w:spacing w:val="-11"/>
        </w:rPr>
        <w:t> </w:t>
      </w:r>
      <w:r>
        <w:rPr/>
        <w:t>existen</w:t>
      </w:r>
      <w:r>
        <w:rPr>
          <w:spacing w:val="-10"/>
        </w:rPr>
        <w:t> </w:t>
      </w:r>
      <w:r>
        <w:rPr/>
        <w:t>contingencias</w:t>
      </w:r>
      <w:r>
        <w:rPr>
          <w:spacing w:val="-12"/>
        </w:rPr>
        <w:t> </w:t>
      </w:r>
      <w:r>
        <w:rPr/>
        <w:t>relacionadas</w:t>
      </w:r>
      <w:r>
        <w:rPr>
          <w:spacing w:val="-11"/>
        </w:rPr>
        <w:t> </w:t>
      </w:r>
      <w:r>
        <w:rPr/>
        <w:t>con</w:t>
      </w:r>
      <w:r>
        <w:rPr>
          <w:spacing w:val="-11"/>
        </w:rPr>
        <w:t> </w:t>
      </w:r>
      <w:r>
        <w:rPr/>
        <w:t>la</w:t>
      </w:r>
      <w:r>
        <w:rPr>
          <w:spacing w:val="-13"/>
        </w:rPr>
        <w:t> </w:t>
      </w:r>
      <w:r>
        <w:rPr/>
        <w:t>protección</w:t>
      </w:r>
      <w:r>
        <w:rPr>
          <w:spacing w:val="-11"/>
        </w:rPr>
        <w:t> </w:t>
      </w:r>
      <w:r>
        <w:rPr/>
        <w:t>y</w:t>
      </w:r>
      <w:r>
        <w:rPr>
          <w:spacing w:val="-13"/>
        </w:rPr>
        <w:t> </w:t>
      </w:r>
      <w:r>
        <w:rPr/>
        <w:t>mejora</w:t>
      </w:r>
      <w:r>
        <w:rPr>
          <w:spacing w:val="-11"/>
        </w:rPr>
        <w:t> </w:t>
      </w:r>
      <w:r>
        <w:rPr/>
        <w:t>del medio ambiente.</w:t>
      </w:r>
    </w:p>
    <w:p>
      <w:pPr>
        <w:pStyle w:val="BodyText"/>
        <w:spacing w:before="3"/>
      </w:pPr>
    </w:p>
    <w:p>
      <w:pPr>
        <w:pStyle w:val="BodyText"/>
        <w:spacing w:line="244" w:lineRule="auto"/>
        <w:ind w:left="995" w:right="847"/>
        <w:jc w:val="both"/>
      </w:pPr>
      <w:r>
        <w:rPr/>
        <w:t>Durante los ejercicios 2025 y 2024 la Sociedad no ha incurrido en gastos cuyo fin haya sido el de la protección y mejora del medio ambiente.</w:t>
      </w:r>
    </w:p>
    <w:p>
      <w:pPr>
        <w:pStyle w:val="BodyText"/>
        <w:spacing w:before="174"/>
      </w:pPr>
    </w:p>
    <w:p>
      <w:pPr>
        <w:pStyle w:val="Heading1"/>
        <w:numPr>
          <w:ilvl w:val="0"/>
          <w:numId w:val="11"/>
        </w:numPr>
        <w:tabs>
          <w:tab w:pos="708" w:val="left" w:leader="none"/>
        </w:tabs>
        <w:spacing w:line="240" w:lineRule="auto" w:before="0" w:after="0"/>
        <w:ind w:left="708" w:right="0" w:hanging="358"/>
        <w:jc w:val="left"/>
      </w:pPr>
      <w:r>
        <w:rPr/>
        <w:t>Operaciones</w:t>
      </w:r>
      <w:r>
        <w:rPr>
          <w:spacing w:val="-10"/>
        </w:rPr>
        <w:t> </w:t>
      </w:r>
      <w:r>
        <w:rPr/>
        <w:t>con</w:t>
      </w:r>
      <w:r>
        <w:rPr>
          <w:spacing w:val="-9"/>
        </w:rPr>
        <w:t> </w:t>
      </w:r>
      <w:r>
        <w:rPr/>
        <w:t>partes</w:t>
      </w:r>
      <w:r>
        <w:rPr>
          <w:spacing w:val="-10"/>
        </w:rPr>
        <w:t> </w:t>
      </w:r>
      <w:r>
        <w:rPr>
          <w:spacing w:val="-2"/>
        </w:rPr>
        <w:t>vinculadas</w:t>
      </w:r>
    </w:p>
    <w:p>
      <w:pPr>
        <w:pStyle w:val="BodyText"/>
        <w:spacing w:before="13"/>
        <w:rPr>
          <w:b/>
        </w:rPr>
      </w:pPr>
    </w:p>
    <w:p>
      <w:pPr>
        <w:pStyle w:val="BodyText"/>
        <w:spacing w:line="244" w:lineRule="auto"/>
        <w:ind w:left="995" w:right="844"/>
        <w:jc w:val="both"/>
      </w:pPr>
      <w:r>
        <w:rPr/>
        <w:t>Con fecha 22 de junio de 2006 el Ministerio de Fomento (actualmente Ministerio de Transportes y Movilidad</w:t>
      </w:r>
      <w:r>
        <w:rPr>
          <w:spacing w:val="-9"/>
        </w:rPr>
        <w:t> </w:t>
      </w:r>
      <w:r>
        <w:rPr/>
        <w:t>Sostenible),</w:t>
      </w:r>
      <w:r>
        <w:rPr>
          <w:spacing w:val="-8"/>
        </w:rPr>
        <w:t> </w:t>
      </w:r>
      <w:r>
        <w:rPr/>
        <w:t>la</w:t>
      </w:r>
      <w:r>
        <w:rPr>
          <w:spacing w:val="-8"/>
        </w:rPr>
        <w:t> </w:t>
      </w:r>
      <w:r>
        <w:rPr/>
        <w:t>Comunidad</w:t>
      </w:r>
      <w:r>
        <w:rPr>
          <w:spacing w:val="-8"/>
        </w:rPr>
        <w:t> </w:t>
      </w:r>
      <w:r>
        <w:rPr/>
        <w:t>Autónoma</w:t>
      </w:r>
      <w:r>
        <w:rPr>
          <w:spacing w:val="-9"/>
        </w:rPr>
        <w:t> </w:t>
      </w:r>
      <w:r>
        <w:rPr/>
        <w:t>de</w:t>
      </w:r>
      <w:r>
        <w:rPr>
          <w:spacing w:val="-8"/>
        </w:rPr>
        <w:t> </w:t>
      </w:r>
      <w:r>
        <w:rPr/>
        <w:t>la</w:t>
      </w:r>
      <w:r>
        <w:rPr>
          <w:spacing w:val="-11"/>
        </w:rPr>
        <w:t> </w:t>
      </w:r>
      <w:r>
        <w:rPr/>
        <w:t>Región</w:t>
      </w:r>
      <w:r>
        <w:rPr>
          <w:spacing w:val="-8"/>
        </w:rPr>
        <w:t> </w:t>
      </w:r>
      <w:r>
        <w:rPr/>
        <w:t>de</w:t>
      </w:r>
      <w:r>
        <w:rPr>
          <w:spacing w:val="-9"/>
        </w:rPr>
        <w:t> </w:t>
      </w:r>
      <w:r>
        <w:rPr/>
        <w:t>Murcia,</w:t>
      </w:r>
      <w:r>
        <w:rPr>
          <w:spacing w:val="-8"/>
        </w:rPr>
        <w:t> </w:t>
      </w:r>
      <w:r>
        <w:rPr/>
        <w:t>el</w:t>
      </w:r>
      <w:r>
        <w:rPr>
          <w:spacing w:val="-8"/>
        </w:rPr>
        <w:t> </w:t>
      </w:r>
      <w:r>
        <w:rPr/>
        <w:t>Ayuntamiento</w:t>
      </w:r>
      <w:r>
        <w:rPr>
          <w:spacing w:val="-8"/>
        </w:rPr>
        <w:t> </w:t>
      </w:r>
      <w:r>
        <w:rPr/>
        <w:t>de</w:t>
      </w:r>
      <w:r>
        <w:rPr>
          <w:spacing w:val="-9"/>
        </w:rPr>
        <w:t> </w:t>
      </w:r>
      <w:r>
        <w:rPr/>
        <w:t>Murcia, y</w:t>
      </w:r>
      <w:r>
        <w:rPr>
          <w:spacing w:val="-12"/>
        </w:rPr>
        <w:t> </w:t>
      </w:r>
      <w:r>
        <w:rPr/>
        <w:t>el</w:t>
      </w:r>
      <w:r>
        <w:rPr>
          <w:spacing w:val="-13"/>
        </w:rPr>
        <w:t> </w:t>
      </w:r>
      <w:r>
        <w:rPr/>
        <w:t>Administrador</w:t>
      </w:r>
      <w:r>
        <w:rPr>
          <w:spacing w:val="-13"/>
        </w:rPr>
        <w:t> </w:t>
      </w:r>
      <w:r>
        <w:rPr/>
        <w:t>de</w:t>
      </w:r>
      <w:r>
        <w:rPr>
          <w:spacing w:val="-13"/>
        </w:rPr>
        <w:t> </w:t>
      </w:r>
      <w:r>
        <w:rPr/>
        <w:t>Infraestructuras</w:t>
      </w:r>
      <w:r>
        <w:rPr>
          <w:spacing w:val="-13"/>
        </w:rPr>
        <w:t> </w:t>
      </w:r>
      <w:r>
        <w:rPr/>
        <w:t>Ferroviarias</w:t>
      </w:r>
      <w:r>
        <w:rPr>
          <w:spacing w:val="-14"/>
        </w:rPr>
        <w:t> </w:t>
      </w:r>
      <w:r>
        <w:rPr/>
        <w:t>(ADIF),</w:t>
      </w:r>
      <w:r>
        <w:rPr>
          <w:spacing w:val="-12"/>
        </w:rPr>
        <w:t> </w:t>
      </w:r>
      <w:r>
        <w:rPr/>
        <w:t>suscribieron</w:t>
      </w:r>
      <w:r>
        <w:rPr>
          <w:spacing w:val="-12"/>
        </w:rPr>
        <w:t> </w:t>
      </w:r>
      <w:r>
        <w:rPr/>
        <w:t>un</w:t>
      </w:r>
      <w:r>
        <w:rPr>
          <w:spacing w:val="-12"/>
        </w:rPr>
        <w:t> </w:t>
      </w:r>
      <w:r>
        <w:rPr/>
        <w:t>Acuerdo</w:t>
      </w:r>
      <w:r>
        <w:rPr>
          <w:spacing w:val="-12"/>
        </w:rPr>
        <w:t> </w:t>
      </w:r>
      <w:r>
        <w:rPr/>
        <w:t>para</w:t>
      </w:r>
      <w:r>
        <w:rPr>
          <w:spacing w:val="-13"/>
        </w:rPr>
        <w:t> </w:t>
      </w:r>
      <w:r>
        <w:rPr/>
        <w:t>el</w:t>
      </w:r>
      <w:r>
        <w:rPr>
          <w:spacing w:val="-13"/>
        </w:rPr>
        <w:t> </w:t>
      </w:r>
      <w:r>
        <w:rPr/>
        <w:t>desarrollo de las actuaciones relativas a la red de Alta Velocidad en la ciudad de Murcia y la correspondiente remodelación de las infraestructuras ferroviarias. El mismo acuerdo preveía la constitución de esta Sociedad con el fin de facilitar la coordinación y ejecución de las actuaciones correspondientes a la ordenación ferroviaria y de transporte público, y promover y gestionar la transformación urbanística derivada de las obras de remodelación del sistema ferroviario en Murcia.</w:t>
      </w:r>
    </w:p>
    <w:p>
      <w:pPr>
        <w:pStyle w:val="BodyText"/>
        <w:spacing w:line="244" w:lineRule="auto" w:before="251"/>
        <w:ind w:left="995" w:right="844"/>
        <w:jc w:val="both"/>
      </w:pPr>
      <w:r>
        <w:rPr/>
        <w:t>Con fecha 13 de diciembre de 2013, se aprobó el Real Decreto-Ley 15/2013, por el que se creó una nueva entidad (ADIF-Alta Velocidad) por escisión de la rama de actividad de construcción y administración</w:t>
      </w:r>
      <w:r>
        <w:rPr>
          <w:spacing w:val="-12"/>
        </w:rPr>
        <w:t> </w:t>
      </w:r>
      <w:r>
        <w:rPr/>
        <w:t>de</w:t>
      </w:r>
      <w:r>
        <w:rPr>
          <w:spacing w:val="-12"/>
        </w:rPr>
        <w:t> </w:t>
      </w:r>
      <w:r>
        <w:rPr/>
        <w:t>infraestructuras</w:t>
      </w:r>
      <w:r>
        <w:rPr>
          <w:spacing w:val="-13"/>
        </w:rPr>
        <w:t> </w:t>
      </w:r>
      <w:r>
        <w:rPr/>
        <w:t>de</w:t>
      </w:r>
      <w:r>
        <w:rPr>
          <w:spacing w:val="-12"/>
        </w:rPr>
        <w:t> </w:t>
      </w:r>
      <w:r>
        <w:rPr/>
        <w:t>alta</w:t>
      </w:r>
      <w:r>
        <w:rPr>
          <w:spacing w:val="-13"/>
        </w:rPr>
        <w:t> </w:t>
      </w:r>
      <w:r>
        <w:rPr/>
        <w:t>velocidad</w:t>
      </w:r>
      <w:r>
        <w:rPr>
          <w:spacing w:val="-12"/>
        </w:rPr>
        <w:t> </w:t>
      </w:r>
      <w:r>
        <w:rPr/>
        <w:t>del</w:t>
      </w:r>
      <w:r>
        <w:rPr>
          <w:spacing w:val="-12"/>
        </w:rPr>
        <w:t> </w:t>
      </w:r>
      <w:r>
        <w:rPr/>
        <w:t>Administrador</w:t>
      </w:r>
      <w:r>
        <w:rPr>
          <w:spacing w:val="-12"/>
        </w:rPr>
        <w:t> </w:t>
      </w:r>
      <w:r>
        <w:rPr/>
        <w:t>de</w:t>
      </w:r>
      <w:r>
        <w:rPr>
          <w:spacing w:val="-12"/>
        </w:rPr>
        <w:t> </w:t>
      </w:r>
      <w:r>
        <w:rPr/>
        <w:t>Infraestructuras</w:t>
      </w:r>
      <w:r>
        <w:rPr>
          <w:spacing w:val="-13"/>
        </w:rPr>
        <w:t> </w:t>
      </w:r>
      <w:r>
        <w:rPr/>
        <w:t>Ferroviarias (ADIF).</w:t>
      </w:r>
      <w:r>
        <w:rPr>
          <w:spacing w:val="-2"/>
        </w:rPr>
        <w:t> </w:t>
      </w:r>
      <w:r>
        <w:rPr/>
        <w:t>De</w:t>
      </w:r>
      <w:r>
        <w:rPr>
          <w:spacing w:val="-2"/>
        </w:rPr>
        <w:t> </w:t>
      </w:r>
      <w:r>
        <w:rPr/>
        <w:t>manera</w:t>
      </w:r>
      <w:r>
        <w:rPr>
          <w:spacing w:val="-3"/>
        </w:rPr>
        <w:t> </w:t>
      </w:r>
      <w:r>
        <w:rPr/>
        <w:t>que</w:t>
      </w:r>
      <w:r>
        <w:rPr>
          <w:spacing w:val="-3"/>
        </w:rPr>
        <w:t> </w:t>
      </w:r>
      <w:r>
        <w:rPr/>
        <w:t>la</w:t>
      </w:r>
      <w:r>
        <w:rPr>
          <w:spacing w:val="-3"/>
        </w:rPr>
        <w:t> </w:t>
      </w:r>
      <w:r>
        <w:rPr/>
        <w:t>gestión</w:t>
      </w:r>
      <w:r>
        <w:rPr>
          <w:spacing w:val="-2"/>
        </w:rPr>
        <w:t> </w:t>
      </w:r>
      <w:r>
        <w:rPr/>
        <w:t>de</w:t>
      </w:r>
      <w:r>
        <w:rPr>
          <w:spacing w:val="-3"/>
        </w:rPr>
        <w:t> </w:t>
      </w:r>
      <w:r>
        <w:rPr/>
        <w:t>las</w:t>
      </w:r>
      <w:r>
        <w:rPr>
          <w:spacing w:val="-3"/>
        </w:rPr>
        <w:t> </w:t>
      </w:r>
      <w:r>
        <w:rPr/>
        <w:t>redes</w:t>
      </w:r>
      <w:r>
        <w:rPr>
          <w:spacing w:val="-3"/>
        </w:rPr>
        <w:t> </w:t>
      </w:r>
      <w:r>
        <w:rPr/>
        <w:t>que</w:t>
      </w:r>
      <w:r>
        <w:rPr>
          <w:spacing w:val="-3"/>
        </w:rPr>
        <w:t> </w:t>
      </w:r>
      <w:r>
        <w:rPr/>
        <w:t>actualmente</w:t>
      </w:r>
      <w:r>
        <w:rPr>
          <w:spacing w:val="-3"/>
        </w:rPr>
        <w:t> </w:t>
      </w:r>
      <w:r>
        <w:rPr/>
        <w:t>administra</w:t>
      </w:r>
      <w:r>
        <w:rPr>
          <w:spacing w:val="-3"/>
        </w:rPr>
        <w:t> </w:t>
      </w:r>
      <w:r>
        <w:rPr/>
        <w:t>dicha</w:t>
      </w:r>
      <w:r>
        <w:rPr>
          <w:spacing w:val="-3"/>
        </w:rPr>
        <w:t> </w:t>
      </w:r>
      <w:r>
        <w:rPr/>
        <w:t>entidad</w:t>
      </w:r>
      <w:r>
        <w:rPr>
          <w:spacing w:val="-3"/>
        </w:rPr>
        <w:t> </w:t>
      </w:r>
      <w:r>
        <w:rPr/>
        <w:t>se</w:t>
      </w:r>
      <w:r>
        <w:rPr>
          <w:spacing w:val="-3"/>
        </w:rPr>
        <w:t> </w:t>
      </w:r>
      <w:r>
        <w:rPr/>
        <w:t>realice</w:t>
      </w:r>
      <w:r>
        <w:rPr>
          <w:spacing w:val="-3"/>
        </w:rPr>
        <w:t> </w:t>
      </w:r>
      <w:r>
        <w:rPr/>
        <w:t>de forma independiente.</w:t>
      </w:r>
    </w:p>
    <w:p>
      <w:pPr>
        <w:pStyle w:val="BodyText"/>
        <w:spacing w:after="0" w:line="244" w:lineRule="auto"/>
        <w:jc w:val="both"/>
        <w:sectPr>
          <w:pgSz w:w="11910" w:h="16840"/>
          <w:pgMar w:header="694" w:footer="690" w:top="1920" w:bottom="880" w:left="708" w:right="425"/>
        </w:sectPr>
      </w:pPr>
    </w:p>
    <w:p>
      <w:pPr>
        <w:pStyle w:val="BodyText"/>
        <w:spacing w:before="190"/>
      </w:pPr>
    </w:p>
    <w:p>
      <w:pPr>
        <w:pStyle w:val="BodyText"/>
        <w:spacing w:line="244" w:lineRule="auto" w:before="1"/>
        <w:ind w:left="995" w:right="841"/>
        <w:jc w:val="both"/>
      </w:pPr>
      <w:r>
        <w:rPr/>
        <w:t>Además, existe un convenio de colaboración entre Murcia Alta Velocidad, S.A. y Cartagena Alta Velocidad,</w:t>
      </w:r>
      <w:r>
        <w:rPr>
          <w:spacing w:val="-14"/>
        </w:rPr>
        <w:t> </w:t>
      </w:r>
      <w:r>
        <w:rPr/>
        <w:t>S.A.</w:t>
      </w:r>
      <w:r>
        <w:rPr>
          <w:spacing w:val="-14"/>
        </w:rPr>
        <w:t> </w:t>
      </w:r>
      <w:r>
        <w:rPr/>
        <w:t>formalizado</w:t>
      </w:r>
      <w:r>
        <w:rPr>
          <w:spacing w:val="-14"/>
        </w:rPr>
        <w:t> </w:t>
      </w:r>
      <w:r>
        <w:rPr/>
        <w:t>con</w:t>
      </w:r>
      <w:r>
        <w:rPr>
          <w:spacing w:val="-13"/>
        </w:rPr>
        <w:t> </w:t>
      </w:r>
      <w:r>
        <w:rPr/>
        <w:t>fecha</w:t>
      </w:r>
      <w:r>
        <w:rPr>
          <w:spacing w:val="-14"/>
        </w:rPr>
        <w:t> </w:t>
      </w:r>
      <w:r>
        <w:rPr/>
        <w:t>23</w:t>
      </w:r>
      <w:r>
        <w:rPr>
          <w:spacing w:val="-14"/>
        </w:rPr>
        <w:t> </w:t>
      </w:r>
      <w:r>
        <w:rPr/>
        <w:t>de</w:t>
      </w:r>
      <w:r>
        <w:rPr>
          <w:spacing w:val="-14"/>
        </w:rPr>
        <w:t> </w:t>
      </w:r>
      <w:r>
        <w:rPr/>
        <w:t>abril</w:t>
      </w:r>
      <w:r>
        <w:rPr>
          <w:spacing w:val="-13"/>
        </w:rPr>
        <w:t> </w:t>
      </w:r>
      <w:r>
        <w:rPr/>
        <w:t>de</w:t>
      </w:r>
      <w:r>
        <w:rPr>
          <w:spacing w:val="-14"/>
        </w:rPr>
        <w:t> </w:t>
      </w:r>
      <w:r>
        <w:rPr/>
        <w:t>2008,</w:t>
      </w:r>
      <w:r>
        <w:rPr>
          <w:spacing w:val="-14"/>
        </w:rPr>
        <w:t> </w:t>
      </w:r>
      <w:r>
        <w:rPr/>
        <w:t>para</w:t>
      </w:r>
      <w:r>
        <w:rPr>
          <w:spacing w:val="-14"/>
        </w:rPr>
        <w:t> </w:t>
      </w:r>
      <w:r>
        <w:rPr/>
        <w:t>la</w:t>
      </w:r>
      <w:r>
        <w:rPr>
          <w:spacing w:val="-13"/>
        </w:rPr>
        <w:t> </w:t>
      </w:r>
      <w:r>
        <w:rPr/>
        <w:t>prestación</w:t>
      </w:r>
      <w:r>
        <w:rPr>
          <w:spacing w:val="-14"/>
        </w:rPr>
        <w:t> </w:t>
      </w:r>
      <w:r>
        <w:rPr/>
        <w:t>de</w:t>
      </w:r>
      <w:r>
        <w:rPr>
          <w:spacing w:val="-14"/>
        </w:rPr>
        <w:t> </w:t>
      </w:r>
      <w:r>
        <w:rPr/>
        <w:t>servicios</w:t>
      </w:r>
      <w:r>
        <w:rPr>
          <w:spacing w:val="-14"/>
        </w:rPr>
        <w:t> </w:t>
      </w:r>
      <w:r>
        <w:rPr/>
        <w:t>de</w:t>
      </w:r>
      <w:r>
        <w:rPr>
          <w:spacing w:val="-13"/>
        </w:rPr>
        <w:t> </w:t>
      </w:r>
      <w:r>
        <w:rPr/>
        <w:t>la</w:t>
      </w:r>
      <w:r>
        <w:rPr>
          <w:spacing w:val="-14"/>
        </w:rPr>
        <w:t> </w:t>
      </w:r>
      <w:r>
        <w:rPr/>
        <w:t>primera </w:t>
      </w:r>
      <w:r>
        <w:rPr>
          <w:spacing w:val="-2"/>
        </w:rPr>
        <w:t>a</w:t>
      </w:r>
      <w:r>
        <w:rPr>
          <w:spacing w:val="-8"/>
        </w:rPr>
        <w:t> </w:t>
      </w:r>
      <w:r>
        <w:rPr>
          <w:spacing w:val="-2"/>
        </w:rPr>
        <w:t>la</w:t>
      </w:r>
      <w:r>
        <w:rPr>
          <w:spacing w:val="-7"/>
        </w:rPr>
        <w:t> </w:t>
      </w:r>
      <w:r>
        <w:rPr>
          <w:spacing w:val="-2"/>
        </w:rPr>
        <w:t>segunda. No existe</w:t>
      </w:r>
      <w:r>
        <w:rPr>
          <w:spacing w:val="-7"/>
        </w:rPr>
        <w:t> </w:t>
      </w:r>
      <w:r>
        <w:rPr>
          <w:spacing w:val="-2"/>
        </w:rPr>
        <w:t>ninguna</w:t>
      </w:r>
      <w:r>
        <w:rPr>
          <w:spacing w:val="-9"/>
        </w:rPr>
        <w:t> </w:t>
      </w:r>
      <w:r>
        <w:rPr>
          <w:spacing w:val="-2"/>
        </w:rPr>
        <w:t>participación</w:t>
      </w:r>
      <w:r>
        <w:rPr>
          <w:spacing w:val="-9"/>
        </w:rPr>
        <w:t> </w:t>
      </w:r>
      <w:r>
        <w:rPr>
          <w:spacing w:val="-2"/>
        </w:rPr>
        <w:t>financiera</w:t>
      </w:r>
      <w:r>
        <w:rPr>
          <w:spacing w:val="-8"/>
        </w:rPr>
        <w:t> </w:t>
      </w:r>
      <w:r>
        <w:rPr>
          <w:spacing w:val="-2"/>
        </w:rPr>
        <w:t>de</w:t>
      </w:r>
      <w:r>
        <w:rPr>
          <w:spacing w:val="-8"/>
        </w:rPr>
        <w:t> </w:t>
      </w:r>
      <w:r>
        <w:rPr>
          <w:spacing w:val="-2"/>
        </w:rPr>
        <w:t>ningún</w:t>
      </w:r>
      <w:r>
        <w:rPr>
          <w:spacing w:val="-9"/>
        </w:rPr>
        <w:t> </w:t>
      </w:r>
      <w:r>
        <w:rPr>
          <w:spacing w:val="-2"/>
        </w:rPr>
        <w:t>tipo</w:t>
      </w:r>
      <w:r>
        <w:rPr>
          <w:spacing w:val="-9"/>
        </w:rPr>
        <w:t> </w:t>
      </w:r>
      <w:r>
        <w:rPr>
          <w:spacing w:val="-2"/>
        </w:rPr>
        <w:t>entre</w:t>
      </w:r>
      <w:r>
        <w:rPr>
          <w:spacing w:val="-8"/>
        </w:rPr>
        <w:t> </w:t>
      </w:r>
      <w:r>
        <w:rPr>
          <w:spacing w:val="-2"/>
        </w:rPr>
        <w:t>ambas</w:t>
      </w:r>
      <w:r>
        <w:rPr>
          <w:spacing w:val="-6"/>
        </w:rPr>
        <w:t> </w:t>
      </w:r>
      <w:r>
        <w:rPr>
          <w:spacing w:val="-2"/>
        </w:rPr>
        <w:t>Sociedades,</w:t>
      </w:r>
      <w:r>
        <w:rPr>
          <w:spacing w:val="-8"/>
        </w:rPr>
        <w:t> </w:t>
      </w:r>
      <w:r>
        <w:rPr>
          <w:spacing w:val="-2"/>
        </w:rPr>
        <w:t>aunque </w:t>
      </w:r>
      <w:r>
        <w:rPr/>
        <w:t>el 75% de los accionistas que componen el capital social de las mismas y 7 de los 12 consejeros son comunes. Durante el ejercicio 2025, la sociedad ha facturado por estos servicios 29.893,03 euros (33.294,93 euros en 2024).</w:t>
      </w:r>
    </w:p>
    <w:p>
      <w:pPr>
        <w:pStyle w:val="BodyText"/>
        <w:spacing w:line="244" w:lineRule="auto" w:before="251"/>
        <w:ind w:left="995" w:right="830"/>
        <w:jc w:val="both"/>
      </w:pPr>
      <w:r>
        <w:rPr/>
        <w:t>Con</w:t>
      </w:r>
      <w:r>
        <w:rPr>
          <w:spacing w:val="-9"/>
        </w:rPr>
        <w:t> </w:t>
      </w:r>
      <w:r>
        <w:rPr/>
        <w:t>fecha</w:t>
      </w:r>
      <w:r>
        <w:rPr>
          <w:spacing w:val="-12"/>
        </w:rPr>
        <w:t> </w:t>
      </w:r>
      <w:r>
        <w:rPr/>
        <w:t>24</w:t>
      </w:r>
      <w:r>
        <w:rPr>
          <w:spacing w:val="-9"/>
        </w:rPr>
        <w:t> </w:t>
      </w:r>
      <w:r>
        <w:rPr/>
        <w:t>de</w:t>
      </w:r>
      <w:r>
        <w:rPr>
          <w:spacing w:val="-13"/>
        </w:rPr>
        <w:t> </w:t>
      </w:r>
      <w:r>
        <w:rPr/>
        <w:t>septiembre</w:t>
      </w:r>
      <w:r>
        <w:rPr>
          <w:spacing w:val="-12"/>
        </w:rPr>
        <w:t> </w:t>
      </w:r>
      <w:r>
        <w:rPr/>
        <w:t>de</w:t>
      </w:r>
      <w:r>
        <w:rPr>
          <w:spacing w:val="-12"/>
        </w:rPr>
        <w:t> </w:t>
      </w:r>
      <w:r>
        <w:rPr/>
        <w:t>2021,</w:t>
      </w:r>
      <w:r>
        <w:rPr>
          <w:spacing w:val="-11"/>
        </w:rPr>
        <w:t> </w:t>
      </w:r>
      <w:r>
        <w:rPr/>
        <w:t>el</w:t>
      </w:r>
      <w:r>
        <w:rPr>
          <w:spacing w:val="-9"/>
        </w:rPr>
        <w:t> </w:t>
      </w:r>
      <w:r>
        <w:rPr/>
        <w:t>Consejo</w:t>
      </w:r>
      <w:r>
        <w:rPr>
          <w:spacing w:val="-11"/>
        </w:rPr>
        <w:t> </w:t>
      </w:r>
      <w:r>
        <w:rPr/>
        <w:t>de</w:t>
      </w:r>
      <w:r>
        <w:rPr>
          <w:spacing w:val="-10"/>
        </w:rPr>
        <w:t> </w:t>
      </w:r>
      <w:r>
        <w:rPr/>
        <w:t>Administración</w:t>
      </w:r>
      <w:r>
        <w:rPr>
          <w:spacing w:val="-11"/>
        </w:rPr>
        <w:t> </w:t>
      </w:r>
      <w:r>
        <w:rPr/>
        <w:t>aprobó</w:t>
      </w:r>
      <w:r>
        <w:rPr>
          <w:spacing w:val="-11"/>
        </w:rPr>
        <w:t> </w:t>
      </w:r>
      <w:r>
        <w:rPr/>
        <w:t>la</w:t>
      </w:r>
      <w:r>
        <w:rPr>
          <w:spacing w:val="-9"/>
        </w:rPr>
        <w:t> </w:t>
      </w:r>
      <w:r>
        <w:rPr/>
        <w:t>suscripción</w:t>
      </w:r>
      <w:r>
        <w:rPr>
          <w:spacing w:val="-11"/>
        </w:rPr>
        <w:t> </w:t>
      </w:r>
      <w:r>
        <w:rPr/>
        <w:t>del</w:t>
      </w:r>
      <w:r>
        <w:rPr>
          <w:spacing w:val="-11"/>
        </w:rPr>
        <w:t> </w:t>
      </w:r>
      <w:r>
        <w:rPr/>
        <w:t>convenio entre Murcia Alta Velocidad, S.A. y Cartagena Alta Velocidad, S.A. para licitaciones conjuntas, con una vigencia de cuatro años, que entró en vigor con su publicación en el</w:t>
      </w:r>
      <w:r>
        <w:rPr>
          <w:spacing w:val="-1"/>
        </w:rPr>
        <w:t> </w:t>
      </w:r>
      <w:r>
        <w:rPr/>
        <w:t>BORM el 19 de</w:t>
      </w:r>
      <w:r>
        <w:rPr>
          <w:spacing w:val="-1"/>
        </w:rPr>
        <w:t> </w:t>
      </w:r>
      <w:r>
        <w:rPr/>
        <w:t>octubre de 2021. De acuerdo con lo establecido en la cláusula decimosegunda del Convenio, ambas partes acordaron</w:t>
      </w:r>
      <w:r>
        <w:rPr>
          <w:spacing w:val="-14"/>
        </w:rPr>
        <w:t> </w:t>
      </w:r>
      <w:r>
        <w:rPr/>
        <w:t>el</w:t>
      </w:r>
      <w:r>
        <w:rPr>
          <w:spacing w:val="-14"/>
        </w:rPr>
        <w:t> </w:t>
      </w:r>
      <w:r>
        <w:rPr/>
        <w:t>4</w:t>
      </w:r>
      <w:r>
        <w:rPr>
          <w:spacing w:val="-14"/>
        </w:rPr>
        <w:t> </w:t>
      </w:r>
      <w:r>
        <w:rPr/>
        <w:t>de</w:t>
      </w:r>
      <w:r>
        <w:rPr>
          <w:spacing w:val="-13"/>
        </w:rPr>
        <w:t> </w:t>
      </w:r>
      <w:r>
        <w:rPr/>
        <w:t>abril</w:t>
      </w:r>
      <w:r>
        <w:rPr>
          <w:spacing w:val="-14"/>
        </w:rPr>
        <w:t> </w:t>
      </w:r>
      <w:r>
        <w:rPr/>
        <w:t>de</w:t>
      </w:r>
      <w:r>
        <w:rPr>
          <w:spacing w:val="-11"/>
        </w:rPr>
        <w:t> </w:t>
      </w:r>
      <w:r>
        <w:rPr/>
        <w:t>2025</w:t>
      </w:r>
      <w:r>
        <w:rPr>
          <w:spacing w:val="-8"/>
        </w:rPr>
        <w:t> </w:t>
      </w:r>
      <w:r>
        <w:rPr/>
        <w:t>la</w:t>
      </w:r>
      <w:r>
        <w:rPr>
          <w:spacing w:val="-9"/>
        </w:rPr>
        <w:t> </w:t>
      </w:r>
      <w:r>
        <w:rPr/>
        <w:t>prórroga</w:t>
      </w:r>
      <w:r>
        <w:rPr>
          <w:spacing w:val="-9"/>
        </w:rPr>
        <w:t> </w:t>
      </w:r>
      <w:r>
        <w:rPr/>
        <w:t>del</w:t>
      </w:r>
      <w:r>
        <w:rPr>
          <w:spacing w:val="-9"/>
        </w:rPr>
        <w:t> </w:t>
      </w:r>
      <w:r>
        <w:rPr/>
        <w:t>Convenio</w:t>
      </w:r>
      <w:r>
        <w:rPr>
          <w:spacing w:val="-9"/>
        </w:rPr>
        <w:t> </w:t>
      </w:r>
      <w:r>
        <w:rPr/>
        <w:t>por</w:t>
      </w:r>
      <w:r>
        <w:rPr>
          <w:spacing w:val="-9"/>
        </w:rPr>
        <w:t> </w:t>
      </w:r>
      <w:r>
        <w:rPr/>
        <w:t>cuatro</w:t>
      </w:r>
      <w:r>
        <w:rPr>
          <w:spacing w:val="-9"/>
        </w:rPr>
        <w:t> </w:t>
      </w:r>
      <w:r>
        <w:rPr/>
        <w:t>años</w:t>
      </w:r>
      <w:r>
        <w:rPr>
          <w:spacing w:val="-9"/>
        </w:rPr>
        <w:t> </w:t>
      </w:r>
      <w:r>
        <w:rPr/>
        <w:t>adicionales</w:t>
      </w:r>
      <w:r>
        <w:rPr>
          <w:spacing w:val="-9"/>
        </w:rPr>
        <w:t> </w:t>
      </w:r>
      <w:r>
        <w:rPr/>
        <w:t>(BORM</w:t>
      </w:r>
      <w:r>
        <w:rPr>
          <w:spacing w:val="-14"/>
        </w:rPr>
        <w:t> </w:t>
      </w:r>
      <w:r>
        <w:rPr/>
        <w:t>nº</w:t>
      </w:r>
      <w:r>
        <w:rPr>
          <w:spacing w:val="-14"/>
        </w:rPr>
        <w:t> </w:t>
      </w:r>
      <w:r>
        <w:rPr/>
        <w:t>185</w:t>
      </w:r>
      <w:r>
        <w:rPr>
          <w:spacing w:val="-14"/>
        </w:rPr>
        <w:t> </w:t>
      </w:r>
      <w:r>
        <w:rPr/>
        <w:t>de 12</w:t>
      </w:r>
      <w:r>
        <w:rPr>
          <w:spacing w:val="-15"/>
        </w:rPr>
        <w:t> </w:t>
      </w:r>
      <w:r>
        <w:rPr/>
        <w:t>de</w:t>
      </w:r>
      <w:r>
        <w:rPr>
          <w:spacing w:val="-14"/>
        </w:rPr>
        <w:t> </w:t>
      </w:r>
      <w:r>
        <w:rPr/>
        <w:t>agosto</w:t>
      </w:r>
      <w:r>
        <w:rPr>
          <w:spacing w:val="-15"/>
        </w:rPr>
        <w:t> </w:t>
      </w:r>
      <w:r>
        <w:rPr/>
        <w:t>de</w:t>
      </w:r>
      <w:r>
        <w:rPr>
          <w:spacing w:val="-14"/>
        </w:rPr>
        <w:t> </w:t>
      </w:r>
      <w:r>
        <w:rPr/>
        <w:t>2025).</w:t>
      </w:r>
    </w:p>
    <w:p>
      <w:pPr>
        <w:pStyle w:val="BodyText"/>
      </w:pPr>
    </w:p>
    <w:p>
      <w:pPr>
        <w:pStyle w:val="BodyText"/>
        <w:spacing w:line="244" w:lineRule="auto"/>
        <w:ind w:left="995" w:right="837"/>
        <w:jc w:val="both"/>
      </w:pPr>
      <w:r>
        <w:rPr/>
        <w:t>El</w:t>
      </w:r>
      <w:r>
        <w:rPr>
          <w:spacing w:val="-8"/>
        </w:rPr>
        <w:t> </w:t>
      </w:r>
      <w:r>
        <w:rPr/>
        <w:t>objeto</w:t>
      </w:r>
      <w:r>
        <w:rPr>
          <w:spacing w:val="-9"/>
        </w:rPr>
        <w:t> </w:t>
      </w:r>
      <w:r>
        <w:rPr/>
        <w:t>del</w:t>
      </w:r>
      <w:r>
        <w:rPr>
          <w:spacing w:val="-9"/>
        </w:rPr>
        <w:t> </w:t>
      </w:r>
      <w:r>
        <w:rPr/>
        <w:t>mencionado</w:t>
      </w:r>
      <w:r>
        <w:rPr>
          <w:spacing w:val="-8"/>
        </w:rPr>
        <w:t> </w:t>
      </w:r>
      <w:r>
        <w:rPr/>
        <w:t>convenio</w:t>
      </w:r>
      <w:r>
        <w:rPr>
          <w:spacing w:val="-5"/>
        </w:rPr>
        <w:t> </w:t>
      </w:r>
      <w:r>
        <w:rPr/>
        <w:t>fue</w:t>
      </w:r>
      <w:r>
        <w:rPr>
          <w:spacing w:val="-9"/>
        </w:rPr>
        <w:t> </w:t>
      </w:r>
      <w:r>
        <w:rPr/>
        <w:t>establecer las</w:t>
      </w:r>
      <w:r>
        <w:rPr>
          <w:spacing w:val="-3"/>
        </w:rPr>
        <w:t> </w:t>
      </w:r>
      <w:r>
        <w:rPr/>
        <w:t>bases</w:t>
      </w:r>
      <w:r>
        <w:rPr>
          <w:spacing w:val="-6"/>
        </w:rPr>
        <w:t> </w:t>
      </w:r>
      <w:r>
        <w:rPr/>
        <w:t>y</w:t>
      </w:r>
      <w:r>
        <w:rPr>
          <w:spacing w:val="-3"/>
        </w:rPr>
        <w:t> </w:t>
      </w:r>
      <w:r>
        <w:rPr/>
        <w:t>el</w:t>
      </w:r>
      <w:r>
        <w:rPr>
          <w:spacing w:val="-4"/>
        </w:rPr>
        <w:t> </w:t>
      </w:r>
      <w:r>
        <w:rPr/>
        <w:t>modo</w:t>
      </w:r>
      <w:r>
        <w:rPr>
          <w:spacing w:val="-4"/>
        </w:rPr>
        <w:t> </w:t>
      </w:r>
      <w:r>
        <w:rPr/>
        <w:t>de</w:t>
      </w:r>
      <w:r>
        <w:rPr>
          <w:spacing w:val="-5"/>
        </w:rPr>
        <w:t> </w:t>
      </w:r>
      <w:r>
        <w:rPr/>
        <w:t>actuación</w:t>
      </w:r>
      <w:r>
        <w:rPr>
          <w:spacing w:val="-4"/>
        </w:rPr>
        <w:t> </w:t>
      </w:r>
      <w:r>
        <w:rPr/>
        <w:t>para</w:t>
      </w:r>
      <w:r>
        <w:rPr>
          <w:spacing w:val="-5"/>
        </w:rPr>
        <w:t> </w:t>
      </w:r>
      <w:r>
        <w:rPr/>
        <w:t>la</w:t>
      </w:r>
      <w:r>
        <w:rPr>
          <w:spacing w:val="-3"/>
        </w:rPr>
        <w:t> </w:t>
      </w:r>
      <w:r>
        <w:rPr/>
        <w:t>realización conjunta</w:t>
      </w:r>
      <w:r>
        <w:rPr>
          <w:spacing w:val="-14"/>
        </w:rPr>
        <w:t> </w:t>
      </w:r>
      <w:r>
        <w:rPr/>
        <w:t>de</w:t>
      </w:r>
      <w:r>
        <w:rPr>
          <w:spacing w:val="-14"/>
        </w:rPr>
        <w:t> </w:t>
      </w:r>
      <w:r>
        <w:rPr/>
        <w:t>contrataciones</w:t>
      </w:r>
      <w:r>
        <w:rPr>
          <w:spacing w:val="-14"/>
        </w:rPr>
        <w:t> </w:t>
      </w:r>
      <w:r>
        <w:rPr/>
        <w:t>específicas</w:t>
      </w:r>
      <w:r>
        <w:rPr>
          <w:spacing w:val="-13"/>
        </w:rPr>
        <w:t> </w:t>
      </w:r>
      <w:r>
        <w:rPr/>
        <w:t>entre</w:t>
      </w:r>
      <w:r>
        <w:rPr>
          <w:spacing w:val="-12"/>
        </w:rPr>
        <w:t> </w:t>
      </w:r>
      <w:r>
        <w:rPr/>
        <w:t>Murcia</w:t>
      </w:r>
      <w:r>
        <w:rPr>
          <w:spacing w:val="-9"/>
        </w:rPr>
        <w:t> </w:t>
      </w:r>
      <w:r>
        <w:rPr/>
        <w:t>Alta</w:t>
      </w:r>
      <w:r>
        <w:rPr>
          <w:spacing w:val="-14"/>
        </w:rPr>
        <w:t> </w:t>
      </w:r>
      <w:r>
        <w:rPr/>
        <w:t>Velocidad,</w:t>
      </w:r>
      <w:r>
        <w:rPr>
          <w:spacing w:val="-14"/>
        </w:rPr>
        <w:t> </w:t>
      </w:r>
      <w:r>
        <w:rPr/>
        <w:t>S.A.</w:t>
      </w:r>
      <w:r>
        <w:rPr>
          <w:spacing w:val="-13"/>
        </w:rPr>
        <w:t> </w:t>
      </w:r>
      <w:r>
        <w:rPr/>
        <w:t>y</w:t>
      </w:r>
      <w:r>
        <w:rPr>
          <w:spacing w:val="-14"/>
        </w:rPr>
        <w:t> </w:t>
      </w:r>
      <w:r>
        <w:rPr/>
        <w:t>la</w:t>
      </w:r>
      <w:r>
        <w:rPr>
          <w:spacing w:val="-14"/>
        </w:rPr>
        <w:t> </w:t>
      </w:r>
      <w:r>
        <w:rPr/>
        <w:t>Sociedad.</w:t>
      </w:r>
      <w:r>
        <w:rPr>
          <w:spacing w:val="-14"/>
        </w:rPr>
        <w:t> </w:t>
      </w:r>
      <w:r>
        <w:rPr/>
        <w:t>Por</w:t>
      </w:r>
      <w:r>
        <w:rPr>
          <w:spacing w:val="-13"/>
        </w:rPr>
        <w:t> </w:t>
      </w:r>
      <w:r>
        <w:rPr/>
        <w:t>razones</w:t>
      </w:r>
      <w:r>
        <w:rPr>
          <w:spacing w:val="-14"/>
        </w:rPr>
        <w:t> </w:t>
      </w:r>
      <w:r>
        <w:rPr/>
        <w:t>de </w:t>
      </w:r>
      <w:r>
        <w:rPr>
          <w:spacing w:val="-2"/>
        </w:rPr>
        <w:t>eficacia,</w:t>
      </w:r>
      <w:r>
        <w:rPr>
          <w:spacing w:val="-12"/>
        </w:rPr>
        <w:t> </w:t>
      </w:r>
      <w:r>
        <w:rPr>
          <w:spacing w:val="-2"/>
        </w:rPr>
        <w:t>la</w:t>
      </w:r>
      <w:r>
        <w:rPr>
          <w:spacing w:val="-12"/>
        </w:rPr>
        <w:t> </w:t>
      </w:r>
      <w:r>
        <w:rPr>
          <w:spacing w:val="-2"/>
        </w:rPr>
        <w:t>licitación</w:t>
      </w:r>
      <w:r>
        <w:rPr>
          <w:spacing w:val="-12"/>
        </w:rPr>
        <w:t> </w:t>
      </w:r>
      <w:r>
        <w:rPr>
          <w:spacing w:val="-2"/>
        </w:rPr>
        <w:t>y</w:t>
      </w:r>
      <w:r>
        <w:rPr>
          <w:spacing w:val="-11"/>
        </w:rPr>
        <w:t> </w:t>
      </w:r>
      <w:r>
        <w:rPr>
          <w:spacing w:val="-2"/>
        </w:rPr>
        <w:t>adjudicación</w:t>
      </w:r>
      <w:r>
        <w:rPr>
          <w:spacing w:val="-12"/>
        </w:rPr>
        <w:t> </w:t>
      </w:r>
      <w:r>
        <w:rPr>
          <w:spacing w:val="-2"/>
        </w:rPr>
        <w:t>de</w:t>
      </w:r>
      <w:r>
        <w:rPr>
          <w:spacing w:val="-12"/>
        </w:rPr>
        <w:t> </w:t>
      </w:r>
      <w:r>
        <w:rPr>
          <w:spacing w:val="-2"/>
        </w:rPr>
        <w:t>los</w:t>
      </w:r>
      <w:r>
        <w:rPr>
          <w:spacing w:val="-12"/>
        </w:rPr>
        <w:t> </w:t>
      </w:r>
      <w:r>
        <w:rPr>
          <w:spacing w:val="-2"/>
        </w:rPr>
        <w:t>contratos</w:t>
      </w:r>
      <w:r>
        <w:rPr>
          <w:spacing w:val="-10"/>
        </w:rPr>
        <w:t> </w:t>
      </w:r>
      <w:r>
        <w:rPr>
          <w:spacing w:val="-2"/>
        </w:rPr>
        <w:t>necesarios para las contrataciones específicas serán </w:t>
      </w:r>
      <w:r>
        <w:rPr/>
        <w:t>llevadas a cabo por la Sociedad Murcia Alta Velocidad, S.A. cuyo órgano de administración </w:t>
      </w:r>
      <w:r>
        <w:rPr>
          <w:spacing w:val="-2"/>
        </w:rPr>
        <w:t>competente</w:t>
      </w:r>
      <w:r>
        <w:rPr>
          <w:spacing w:val="-12"/>
        </w:rPr>
        <w:t> </w:t>
      </w:r>
      <w:r>
        <w:rPr>
          <w:spacing w:val="-2"/>
        </w:rPr>
        <w:t>será</w:t>
      </w:r>
      <w:r>
        <w:rPr>
          <w:spacing w:val="-12"/>
        </w:rPr>
        <w:t> </w:t>
      </w:r>
      <w:r>
        <w:rPr>
          <w:spacing w:val="-2"/>
        </w:rPr>
        <w:t>quien</w:t>
      </w:r>
      <w:r>
        <w:rPr>
          <w:spacing w:val="-12"/>
        </w:rPr>
        <w:t> </w:t>
      </w:r>
      <w:r>
        <w:rPr>
          <w:spacing w:val="-2"/>
        </w:rPr>
        <w:t>actúe</w:t>
      </w:r>
      <w:r>
        <w:rPr>
          <w:spacing w:val="-11"/>
        </w:rPr>
        <w:t> </w:t>
      </w:r>
      <w:r>
        <w:rPr>
          <w:spacing w:val="-2"/>
        </w:rPr>
        <w:t>como</w:t>
      </w:r>
      <w:r>
        <w:rPr>
          <w:spacing w:val="-11"/>
        </w:rPr>
        <w:t> </w:t>
      </w:r>
      <w:r>
        <w:rPr>
          <w:spacing w:val="-2"/>
        </w:rPr>
        <w:t>órgano</w:t>
      </w:r>
      <w:r>
        <w:rPr>
          <w:spacing w:val="-7"/>
        </w:rPr>
        <w:t> </w:t>
      </w:r>
      <w:r>
        <w:rPr>
          <w:spacing w:val="-2"/>
        </w:rPr>
        <w:t>de</w:t>
      </w:r>
      <w:r>
        <w:rPr>
          <w:spacing w:val="-6"/>
        </w:rPr>
        <w:t> </w:t>
      </w:r>
      <w:r>
        <w:rPr>
          <w:spacing w:val="-2"/>
        </w:rPr>
        <w:t>contratación,</w:t>
      </w:r>
      <w:r>
        <w:rPr>
          <w:spacing w:val="-12"/>
        </w:rPr>
        <w:t> </w:t>
      </w:r>
      <w:r>
        <w:rPr>
          <w:spacing w:val="-2"/>
        </w:rPr>
        <w:t>y</w:t>
      </w:r>
      <w:r>
        <w:rPr>
          <w:spacing w:val="-12"/>
        </w:rPr>
        <w:t> </w:t>
      </w:r>
      <w:r>
        <w:rPr>
          <w:spacing w:val="-2"/>
        </w:rPr>
        <w:t>gestionará</w:t>
      </w:r>
      <w:r>
        <w:rPr>
          <w:spacing w:val="-12"/>
        </w:rPr>
        <w:t> </w:t>
      </w:r>
      <w:r>
        <w:rPr>
          <w:spacing w:val="-2"/>
        </w:rPr>
        <w:t>el</w:t>
      </w:r>
      <w:r>
        <w:rPr>
          <w:spacing w:val="-11"/>
        </w:rPr>
        <w:t> </w:t>
      </w:r>
      <w:r>
        <w:rPr>
          <w:spacing w:val="-2"/>
        </w:rPr>
        <w:t>correspondiente</w:t>
      </w:r>
      <w:r>
        <w:rPr>
          <w:spacing w:val="-12"/>
        </w:rPr>
        <w:t> </w:t>
      </w:r>
      <w:r>
        <w:rPr>
          <w:spacing w:val="-2"/>
        </w:rPr>
        <w:t>expediente</w:t>
      </w:r>
      <w:r>
        <w:rPr>
          <w:spacing w:val="-12"/>
        </w:rPr>
        <w:t> </w:t>
      </w:r>
      <w:r>
        <w:rPr>
          <w:spacing w:val="-2"/>
        </w:rPr>
        <w:t>de contratación.</w:t>
      </w:r>
    </w:p>
    <w:p>
      <w:pPr>
        <w:pStyle w:val="BodyText"/>
        <w:spacing w:before="252"/>
        <w:ind w:left="995"/>
        <w:jc w:val="both"/>
      </w:pPr>
      <w:r>
        <w:rPr/>
        <w:t>Durante</w:t>
      </w:r>
      <w:r>
        <w:rPr>
          <w:spacing w:val="-8"/>
        </w:rPr>
        <w:t> </w:t>
      </w:r>
      <w:r>
        <w:rPr/>
        <w:t>el</w:t>
      </w:r>
      <w:r>
        <w:rPr>
          <w:spacing w:val="-7"/>
        </w:rPr>
        <w:t> </w:t>
      </w:r>
      <w:r>
        <w:rPr/>
        <w:t>ejercicio</w:t>
      </w:r>
      <w:r>
        <w:rPr>
          <w:spacing w:val="-7"/>
        </w:rPr>
        <w:t> </w:t>
      </w:r>
      <w:r>
        <w:rPr/>
        <w:t>se</w:t>
      </w:r>
      <w:r>
        <w:rPr>
          <w:spacing w:val="-7"/>
        </w:rPr>
        <w:t> </w:t>
      </w:r>
      <w:r>
        <w:rPr/>
        <w:t>han</w:t>
      </w:r>
      <w:r>
        <w:rPr>
          <w:spacing w:val="-6"/>
        </w:rPr>
        <w:t> </w:t>
      </w:r>
      <w:r>
        <w:rPr/>
        <w:t>realizado</w:t>
      </w:r>
      <w:r>
        <w:rPr>
          <w:spacing w:val="-6"/>
        </w:rPr>
        <w:t> </w:t>
      </w:r>
      <w:r>
        <w:rPr/>
        <w:t>operaciones</w:t>
      </w:r>
      <w:r>
        <w:rPr>
          <w:spacing w:val="-7"/>
        </w:rPr>
        <w:t> </w:t>
      </w:r>
      <w:r>
        <w:rPr/>
        <w:t>con</w:t>
      </w:r>
      <w:r>
        <w:rPr>
          <w:spacing w:val="-6"/>
        </w:rPr>
        <w:t> </w:t>
      </w:r>
      <w:r>
        <w:rPr/>
        <w:t>las</w:t>
      </w:r>
      <w:r>
        <w:rPr>
          <w:spacing w:val="-7"/>
        </w:rPr>
        <w:t> </w:t>
      </w:r>
      <w:r>
        <w:rPr/>
        <w:t>siguientes</w:t>
      </w:r>
      <w:r>
        <w:rPr>
          <w:spacing w:val="-8"/>
        </w:rPr>
        <w:t> </w:t>
      </w:r>
      <w:r>
        <w:rPr/>
        <w:t>partes</w:t>
      </w:r>
      <w:r>
        <w:rPr>
          <w:spacing w:val="-7"/>
        </w:rPr>
        <w:t> </w:t>
      </w:r>
      <w:r>
        <w:rPr>
          <w:spacing w:val="-2"/>
        </w:rPr>
        <w:t>vinculadas:</w:t>
      </w:r>
    </w:p>
    <w:p>
      <w:pPr>
        <w:pStyle w:val="BodyText"/>
        <w:spacing w:before="9"/>
      </w:pPr>
    </w:p>
    <w:p>
      <w:pPr>
        <w:tabs>
          <w:tab w:pos="4407" w:val="left" w:leader="none"/>
          <w:tab w:pos="6730" w:val="left" w:leader="none"/>
          <w:tab w:pos="7029" w:val="left" w:leader="none"/>
        </w:tabs>
        <w:spacing w:line="439" w:lineRule="auto" w:before="0"/>
        <w:ind w:left="2860" w:right="2726" w:hanging="70"/>
        <w:jc w:val="left"/>
        <w:rPr>
          <w:sz w:val="16"/>
        </w:rPr>
      </w:pPr>
      <w:r>
        <w:rPr>
          <w:sz w:val="16"/>
          <w:u w:val="single"/>
        </w:rPr>
        <w:tab/>
        <w:tab/>
      </w:r>
      <w:r>
        <w:rPr>
          <w:spacing w:val="-2"/>
          <w:sz w:val="16"/>
          <w:u w:val="single"/>
        </w:rPr>
        <w:t>Sociedad</w:t>
      </w:r>
      <w:r>
        <w:rPr>
          <w:sz w:val="16"/>
          <w:u w:val="single"/>
        </w:rPr>
        <w:tab/>
        <w:t>Tipo de vinculación </w:t>
      </w:r>
      <w:r>
        <w:rPr>
          <w:spacing w:val="40"/>
          <w:sz w:val="16"/>
          <w:u w:val="none"/>
        </w:rPr>
        <w:t> </w:t>
      </w:r>
      <w:r>
        <w:rPr>
          <w:sz w:val="16"/>
          <w:u w:val="none"/>
        </w:rPr>
        <w:t>Administrador de Infraestructuras Ferroviarias (ADIF)</w:t>
        <w:tab/>
        <w:tab/>
      </w:r>
      <w:r>
        <w:rPr>
          <w:spacing w:val="-2"/>
          <w:sz w:val="16"/>
          <w:u w:val="none"/>
        </w:rPr>
        <w:t>Accionista</w:t>
      </w:r>
    </w:p>
    <w:p>
      <w:pPr>
        <w:tabs>
          <w:tab w:pos="7029" w:val="left" w:leader="none"/>
        </w:tabs>
        <w:spacing w:before="38"/>
        <w:ind w:left="2860" w:right="0" w:firstLine="0"/>
        <w:jc w:val="left"/>
        <w:rPr>
          <w:sz w:val="16"/>
        </w:rPr>
      </w:pPr>
      <w:r>
        <w:rPr>
          <w:spacing w:val="-2"/>
          <w:sz w:val="16"/>
        </w:rPr>
        <w:t>ADIF-</w:t>
      </w:r>
      <w:r>
        <w:rPr>
          <w:spacing w:val="-8"/>
          <w:sz w:val="16"/>
        </w:rPr>
        <w:t> </w:t>
      </w:r>
      <w:r>
        <w:rPr>
          <w:spacing w:val="-2"/>
          <w:sz w:val="16"/>
        </w:rPr>
        <w:t>Alta</w:t>
      </w:r>
      <w:r>
        <w:rPr>
          <w:spacing w:val="-8"/>
          <w:sz w:val="16"/>
        </w:rPr>
        <w:t> </w:t>
      </w:r>
      <w:r>
        <w:rPr>
          <w:spacing w:val="-2"/>
          <w:sz w:val="16"/>
        </w:rPr>
        <w:t>Velocidad</w:t>
      </w:r>
      <w:r>
        <w:rPr>
          <w:sz w:val="16"/>
        </w:rPr>
        <w:tab/>
      </w:r>
      <w:r>
        <w:rPr>
          <w:spacing w:val="-2"/>
          <w:sz w:val="16"/>
        </w:rPr>
        <w:t>Accionista</w:t>
      </w:r>
    </w:p>
    <w:p>
      <w:pPr>
        <w:tabs>
          <w:tab w:pos="7029" w:val="left" w:leader="none"/>
        </w:tabs>
        <w:spacing w:before="116"/>
        <w:ind w:left="2860" w:right="0" w:firstLine="0"/>
        <w:jc w:val="left"/>
        <w:rPr>
          <w:sz w:val="16"/>
        </w:rPr>
      </w:pPr>
      <w:r>
        <w:rPr>
          <w:sz w:val="16"/>
        </w:rPr>
        <w:t>Comunidad</w:t>
      </w:r>
      <w:r>
        <w:rPr>
          <w:spacing w:val="-5"/>
          <w:sz w:val="16"/>
        </w:rPr>
        <w:t> </w:t>
      </w:r>
      <w:r>
        <w:rPr>
          <w:sz w:val="16"/>
        </w:rPr>
        <w:t>Autónoma</w:t>
      </w:r>
      <w:r>
        <w:rPr>
          <w:spacing w:val="-5"/>
          <w:sz w:val="16"/>
        </w:rPr>
        <w:t> </w:t>
      </w:r>
      <w:r>
        <w:rPr>
          <w:sz w:val="16"/>
        </w:rPr>
        <w:t>de</w:t>
      </w:r>
      <w:r>
        <w:rPr>
          <w:spacing w:val="-5"/>
          <w:sz w:val="16"/>
        </w:rPr>
        <w:t> </w:t>
      </w:r>
      <w:r>
        <w:rPr>
          <w:sz w:val="16"/>
        </w:rPr>
        <w:t>la</w:t>
      </w:r>
      <w:r>
        <w:rPr>
          <w:spacing w:val="-5"/>
          <w:sz w:val="16"/>
        </w:rPr>
        <w:t> </w:t>
      </w:r>
      <w:r>
        <w:rPr>
          <w:sz w:val="16"/>
        </w:rPr>
        <w:t>Región</w:t>
      </w:r>
      <w:r>
        <w:rPr>
          <w:spacing w:val="-4"/>
          <w:sz w:val="16"/>
        </w:rPr>
        <w:t> </w:t>
      </w:r>
      <w:r>
        <w:rPr>
          <w:sz w:val="16"/>
        </w:rPr>
        <w:t>de</w:t>
      </w:r>
      <w:r>
        <w:rPr>
          <w:spacing w:val="-6"/>
          <w:sz w:val="16"/>
        </w:rPr>
        <w:t> </w:t>
      </w:r>
      <w:r>
        <w:rPr>
          <w:spacing w:val="-2"/>
          <w:sz w:val="16"/>
        </w:rPr>
        <w:t>Murcia</w:t>
      </w:r>
      <w:r>
        <w:rPr>
          <w:sz w:val="16"/>
        </w:rPr>
        <w:tab/>
      </w:r>
      <w:r>
        <w:rPr>
          <w:spacing w:val="-2"/>
          <w:sz w:val="16"/>
        </w:rPr>
        <w:t>Accionista</w:t>
      </w:r>
    </w:p>
    <w:p>
      <w:pPr>
        <w:tabs>
          <w:tab w:pos="6718" w:val="left" w:leader="none"/>
          <w:tab w:pos="7029" w:val="left" w:leader="none"/>
        </w:tabs>
        <w:spacing w:line="412" w:lineRule="auto" w:before="123"/>
        <w:ind w:left="2860" w:right="2751" w:firstLine="0"/>
        <w:jc w:val="left"/>
        <w:rPr>
          <w:sz w:val="16"/>
        </w:rPr>
      </w:pPr>
      <w:r>
        <w:rPr>
          <w:sz w:val="16"/>
        </w:rPr>
        <w:t>Excmo. Ayuntamiento de Murcia</w:t>
        <w:tab/>
        <w:tab/>
      </w:r>
      <w:r>
        <w:rPr>
          <w:spacing w:val="-2"/>
          <w:sz w:val="16"/>
        </w:rPr>
        <w:t>Accionista</w:t>
      </w:r>
      <w:r>
        <w:rPr>
          <w:spacing w:val="40"/>
          <w:sz w:val="16"/>
        </w:rPr>
        <w:t> </w:t>
      </w:r>
      <w:r>
        <w:rPr>
          <w:sz w:val="16"/>
        </w:rPr>
        <w:t>Cartagena Alta Velocidad, S.A.</w:t>
        <w:tab/>
        <w:t>Otra</w:t>
      </w:r>
      <w:r>
        <w:rPr>
          <w:spacing w:val="-10"/>
          <w:sz w:val="16"/>
        </w:rPr>
        <w:t> </w:t>
      </w:r>
      <w:r>
        <w:rPr>
          <w:sz w:val="16"/>
        </w:rPr>
        <w:t>parte</w:t>
      </w:r>
      <w:r>
        <w:rPr>
          <w:spacing w:val="-10"/>
          <w:sz w:val="16"/>
        </w:rPr>
        <w:t> </w:t>
      </w:r>
      <w:r>
        <w:rPr>
          <w:sz w:val="16"/>
        </w:rPr>
        <w:t>vinculada</w:t>
      </w:r>
    </w:p>
    <w:p>
      <w:pPr>
        <w:pStyle w:val="BodyText"/>
        <w:spacing w:before="6"/>
        <w:rPr>
          <w:sz w:val="16"/>
        </w:rPr>
      </w:pPr>
    </w:p>
    <w:p>
      <w:pPr>
        <w:pStyle w:val="Heading1"/>
        <w:numPr>
          <w:ilvl w:val="1"/>
          <w:numId w:val="11"/>
        </w:numPr>
        <w:tabs>
          <w:tab w:pos="1353" w:val="left" w:leader="none"/>
        </w:tabs>
        <w:spacing w:line="240" w:lineRule="auto" w:before="0" w:after="0"/>
        <w:ind w:left="1353" w:right="0" w:hanging="358"/>
        <w:jc w:val="left"/>
      </w:pPr>
      <w:r>
        <w:rPr/>
        <w:t>Transacciones</w:t>
      </w:r>
      <w:r>
        <w:rPr>
          <w:spacing w:val="-12"/>
        </w:rPr>
        <w:t> </w:t>
      </w:r>
      <w:r>
        <w:rPr/>
        <w:t>con</w:t>
      </w:r>
      <w:r>
        <w:rPr>
          <w:spacing w:val="-11"/>
        </w:rPr>
        <w:t> </w:t>
      </w:r>
      <w:r>
        <w:rPr/>
        <w:t>empresas</w:t>
      </w:r>
      <w:r>
        <w:rPr>
          <w:spacing w:val="-11"/>
        </w:rPr>
        <w:t> </w:t>
      </w:r>
      <w:r>
        <w:rPr>
          <w:spacing w:val="-2"/>
        </w:rPr>
        <w:t>vinculadas</w:t>
      </w:r>
    </w:p>
    <w:p>
      <w:pPr>
        <w:pStyle w:val="BodyText"/>
        <w:spacing w:before="9"/>
        <w:rPr>
          <w:b/>
        </w:rPr>
      </w:pPr>
    </w:p>
    <w:p>
      <w:pPr>
        <w:pStyle w:val="BodyText"/>
        <w:spacing w:line="244" w:lineRule="auto"/>
        <w:ind w:left="995" w:right="852"/>
        <w:jc w:val="both"/>
      </w:pPr>
      <w:r>
        <w:rPr/>
        <w:t>La información sobre operaciones con partes vinculadas de la Sociedad se recoge en los siguientes </w:t>
      </w:r>
      <w:r>
        <w:rPr>
          <w:spacing w:val="-2"/>
        </w:rPr>
        <w:t>cuadros:</w:t>
      </w:r>
    </w:p>
    <w:p>
      <w:pPr>
        <w:pStyle w:val="BodyText"/>
        <w:spacing w:before="49"/>
        <w:rPr>
          <w:sz w:val="20"/>
        </w:rPr>
      </w:pPr>
    </w:p>
    <w:tbl>
      <w:tblPr>
        <w:tblW w:w="0" w:type="auto"/>
        <w:jc w:val="left"/>
        <w:tblInd w:w="2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41"/>
        <w:gridCol w:w="1219"/>
        <w:gridCol w:w="1061"/>
      </w:tblGrid>
      <w:tr>
        <w:trPr>
          <w:trHeight w:val="198" w:hRule="atLeast"/>
        </w:trPr>
        <w:tc>
          <w:tcPr>
            <w:tcW w:w="2941" w:type="dxa"/>
          </w:tcPr>
          <w:p>
            <w:pPr>
              <w:pStyle w:val="TableParagraph"/>
              <w:spacing w:line="177" w:lineRule="exact"/>
              <w:ind w:right="842"/>
              <w:jc w:val="right"/>
              <w:rPr>
                <w:b/>
                <w:sz w:val="16"/>
              </w:rPr>
            </w:pPr>
            <w:r>
              <w:rPr>
                <w:b/>
                <w:sz w:val="16"/>
              </w:rPr>
              <w:t>Servicios</w:t>
            </w:r>
            <w:r>
              <w:rPr>
                <w:b/>
                <w:spacing w:val="-8"/>
                <w:sz w:val="16"/>
              </w:rPr>
              <w:t> </w:t>
            </w:r>
            <w:r>
              <w:rPr>
                <w:b/>
                <w:spacing w:val="-2"/>
                <w:sz w:val="16"/>
              </w:rPr>
              <w:t>recibidos</w:t>
            </w:r>
          </w:p>
        </w:tc>
        <w:tc>
          <w:tcPr>
            <w:tcW w:w="1219" w:type="dxa"/>
            <w:tcBorders>
              <w:bottom w:val="single" w:sz="8" w:space="0" w:color="000000"/>
            </w:tcBorders>
          </w:tcPr>
          <w:p>
            <w:pPr>
              <w:pStyle w:val="TableParagraph"/>
              <w:spacing w:line="177" w:lineRule="exact"/>
              <w:ind w:right="76"/>
              <w:jc w:val="center"/>
              <w:rPr>
                <w:b/>
                <w:sz w:val="16"/>
              </w:rPr>
            </w:pPr>
            <w:r>
              <w:rPr>
                <w:b/>
                <w:spacing w:val="-4"/>
                <w:sz w:val="16"/>
              </w:rPr>
              <w:t>2025</w:t>
            </w:r>
          </w:p>
        </w:tc>
        <w:tc>
          <w:tcPr>
            <w:tcW w:w="1061" w:type="dxa"/>
            <w:tcBorders>
              <w:bottom w:val="single" w:sz="8" w:space="0" w:color="000000"/>
            </w:tcBorders>
          </w:tcPr>
          <w:p>
            <w:pPr>
              <w:pStyle w:val="TableParagraph"/>
              <w:spacing w:line="177" w:lineRule="exact"/>
              <w:ind w:left="330"/>
              <w:rPr>
                <w:b/>
                <w:sz w:val="16"/>
              </w:rPr>
            </w:pPr>
            <w:r>
              <w:rPr>
                <w:b/>
                <w:spacing w:val="-4"/>
                <w:sz w:val="16"/>
              </w:rPr>
              <w:t>2024</w:t>
            </w:r>
          </w:p>
        </w:tc>
      </w:tr>
      <w:tr>
        <w:trPr>
          <w:trHeight w:val="230" w:hRule="atLeast"/>
        </w:trPr>
        <w:tc>
          <w:tcPr>
            <w:tcW w:w="2941" w:type="dxa"/>
          </w:tcPr>
          <w:p>
            <w:pPr>
              <w:pStyle w:val="TableParagraph"/>
              <w:spacing w:before="22"/>
              <w:ind w:left="50"/>
              <w:rPr>
                <w:sz w:val="16"/>
              </w:rPr>
            </w:pPr>
            <w:r>
              <w:rPr>
                <w:sz w:val="16"/>
              </w:rPr>
              <w:t>ADIF</w:t>
            </w:r>
            <w:r>
              <w:rPr>
                <w:spacing w:val="-4"/>
                <w:sz w:val="16"/>
              </w:rPr>
              <w:t> </w:t>
            </w:r>
            <w:r>
              <w:rPr>
                <w:sz w:val="16"/>
              </w:rPr>
              <w:t>-</w:t>
            </w:r>
            <w:r>
              <w:rPr>
                <w:spacing w:val="-5"/>
                <w:sz w:val="16"/>
              </w:rPr>
              <w:t> AV</w:t>
            </w:r>
          </w:p>
        </w:tc>
        <w:tc>
          <w:tcPr>
            <w:tcW w:w="1219" w:type="dxa"/>
            <w:tcBorders>
              <w:top w:val="single" w:sz="8" w:space="0" w:color="000000"/>
            </w:tcBorders>
          </w:tcPr>
          <w:p>
            <w:pPr>
              <w:pStyle w:val="TableParagraph"/>
              <w:spacing w:before="22"/>
              <w:ind w:right="147"/>
              <w:jc w:val="right"/>
              <w:rPr>
                <w:sz w:val="16"/>
              </w:rPr>
            </w:pPr>
            <w:r>
              <w:rPr>
                <w:spacing w:val="-2"/>
                <w:sz w:val="16"/>
              </w:rPr>
              <w:t>7.427.751,07</w:t>
            </w:r>
          </w:p>
        </w:tc>
        <w:tc>
          <w:tcPr>
            <w:tcW w:w="1061" w:type="dxa"/>
            <w:tcBorders>
              <w:top w:val="single" w:sz="8" w:space="0" w:color="000000"/>
            </w:tcBorders>
          </w:tcPr>
          <w:p>
            <w:pPr>
              <w:pStyle w:val="TableParagraph"/>
              <w:spacing w:before="22"/>
              <w:ind w:right="68"/>
              <w:jc w:val="right"/>
              <w:rPr>
                <w:sz w:val="16"/>
              </w:rPr>
            </w:pPr>
            <w:r>
              <w:rPr>
                <w:spacing w:val="-2"/>
                <w:sz w:val="16"/>
              </w:rPr>
              <w:t>2.258.483,88</w:t>
            </w:r>
          </w:p>
        </w:tc>
      </w:tr>
      <w:tr>
        <w:trPr>
          <w:trHeight w:val="226" w:hRule="atLeast"/>
        </w:trPr>
        <w:tc>
          <w:tcPr>
            <w:tcW w:w="2941" w:type="dxa"/>
          </w:tcPr>
          <w:p>
            <w:pPr>
              <w:pStyle w:val="TableParagraph"/>
              <w:spacing w:before="18"/>
              <w:ind w:left="50"/>
              <w:rPr>
                <w:sz w:val="16"/>
              </w:rPr>
            </w:pPr>
            <w:r>
              <w:rPr>
                <w:sz w:val="16"/>
              </w:rPr>
              <w:t>Ayuntamiento</w:t>
            </w:r>
            <w:r>
              <w:rPr>
                <w:spacing w:val="-6"/>
                <w:sz w:val="16"/>
              </w:rPr>
              <w:t> </w:t>
            </w:r>
            <w:r>
              <w:rPr>
                <w:sz w:val="16"/>
              </w:rPr>
              <w:t>de</w:t>
            </w:r>
            <w:r>
              <w:rPr>
                <w:spacing w:val="-7"/>
                <w:sz w:val="16"/>
              </w:rPr>
              <w:t> </w:t>
            </w:r>
            <w:r>
              <w:rPr>
                <w:spacing w:val="-2"/>
                <w:sz w:val="16"/>
              </w:rPr>
              <w:t>Murcia</w:t>
            </w:r>
          </w:p>
        </w:tc>
        <w:tc>
          <w:tcPr>
            <w:tcW w:w="1219" w:type="dxa"/>
          </w:tcPr>
          <w:p>
            <w:pPr>
              <w:pStyle w:val="TableParagraph"/>
              <w:spacing w:before="18"/>
              <w:ind w:right="147"/>
              <w:jc w:val="right"/>
              <w:rPr>
                <w:sz w:val="16"/>
              </w:rPr>
            </w:pPr>
            <w:r>
              <w:rPr>
                <w:spacing w:val="-2"/>
                <w:sz w:val="16"/>
              </w:rPr>
              <w:t>159.823,61</w:t>
            </w:r>
          </w:p>
        </w:tc>
        <w:tc>
          <w:tcPr>
            <w:tcW w:w="1061" w:type="dxa"/>
          </w:tcPr>
          <w:p>
            <w:pPr>
              <w:pStyle w:val="TableParagraph"/>
              <w:spacing w:before="18"/>
              <w:ind w:right="68"/>
              <w:jc w:val="right"/>
              <w:rPr>
                <w:sz w:val="16"/>
              </w:rPr>
            </w:pPr>
            <w:r>
              <w:rPr>
                <w:spacing w:val="-2"/>
                <w:sz w:val="16"/>
              </w:rPr>
              <w:t>155.112,89</w:t>
            </w:r>
          </w:p>
        </w:tc>
      </w:tr>
      <w:tr>
        <w:trPr>
          <w:trHeight w:val="340" w:hRule="atLeast"/>
        </w:trPr>
        <w:tc>
          <w:tcPr>
            <w:tcW w:w="2941" w:type="dxa"/>
          </w:tcPr>
          <w:p>
            <w:pPr>
              <w:pStyle w:val="TableParagraph"/>
              <w:spacing w:before="18"/>
              <w:ind w:right="19"/>
              <w:jc w:val="center"/>
              <w:rPr>
                <w:b/>
                <w:sz w:val="16"/>
              </w:rPr>
            </w:pPr>
            <w:r>
              <w:rPr>
                <w:b/>
                <w:spacing w:val="-2"/>
                <w:sz w:val="16"/>
              </w:rPr>
              <w:t>Total</w:t>
            </w:r>
          </w:p>
        </w:tc>
        <w:tc>
          <w:tcPr>
            <w:tcW w:w="1219" w:type="dxa"/>
          </w:tcPr>
          <w:p>
            <w:pPr>
              <w:pStyle w:val="TableParagraph"/>
              <w:spacing w:before="18"/>
              <w:ind w:right="147"/>
              <w:jc w:val="right"/>
              <w:rPr>
                <w:b/>
                <w:sz w:val="16"/>
              </w:rPr>
            </w:pPr>
            <w:r>
              <w:rPr>
                <w:b/>
                <w:spacing w:val="-2"/>
                <w:sz w:val="16"/>
              </w:rPr>
              <w:t>7.587.574,68</w:t>
            </w:r>
          </w:p>
        </w:tc>
        <w:tc>
          <w:tcPr>
            <w:tcW w:w="1061" w:type="dxa"/>
          </w:tcPr>
          <w:p>
            <w:pPr>
              <w:pStyle w:val="TableParagraph"/>
              <w:spacing w:before="18"/>
              <w:ind w:right="68"/>
              <w:jc w:val="right"/>
              <w:rPr>
                <w:b/>
                <w:sz w:val="16"/>
              </w:rPr>
            </w:pPr>
            <w:r>
              <w:rPr>
                <w:b/>
                <w:spacing w:val="-2"/>
                <w:sz w:val="16"/>
              </w:rPr>
              <w:t>2.413.596,77</w:t>
            </w:r>
          </w:p>
        </w:tc>
      </w:tr>
      <w:tr>
        <w:trPr>
          <w:trHeight w:val="337" w:hRule="atLeast"/>
        </w:trPr>
        <w:tc>
          <w:tcPr>
            <w:tcW w:w="2941" w:type="dxa"/>
          </w:tcPr>
          <w:p>
            <w:pPr>
              <w:pStyle w:val="TableParagraph"/>
              <w:spacing w:before="132"/>
              <w:ind w:right="826"/>
              <w:jc w:val="right"/>
              <w:rPr>
                <w:b/>
                <w:sz w:val="16"/>
              </w:rPr>
            </w:pPr>
            <w:r>
              <w:rPr>
                <w:b/>
                <w:sz w:val="16"/>
              </w:rPr>
              <w:t>Servicios</w:t>
            </w:r>
            <w:r>
              <w:rPr>
                <w:b/>
                <w:spacing w:val="-8"/>
                <w:sz w:val="16"/>
              </w:rPr>
              <w:t> </w:t>
            </w:r>
            <w:r>
              <w:rPr>
                <w:b/>
                <w:spacing w:val="-2"/>
                <w:sz w:val="16"/>
              </w:rPr>
              <w:t>prestados</w:t>
            </w:r>
          </w:p>
        </w:tc>
        <w:tc>
          <w:tcPr>
            <w:tcW w:w="1219" w:type="dxa"/>
            <w:tcBorders>
              <w:bottom w:val="single" w:sz="8" w:space="0" w:color="000000"/>
            </w:tcBorders>
          </w:tcPr>
          <w:p>
            <w:pPr>
              <w:pStyle w:val="TableParagraph"/>
              <w:spacing w:before="132"/>
              <w:ind w:right="76"/>
              <w:jc w:val="center"/>
              <w:rPr>
                <w:b/>
                <w:sz w:val="16"/>
              </w:rPr>
            </w:pPr>
            <w:r>
              <w:rPr>
                <w:b/>
                <w:spacing w:val="-4"/>
                <w:sz w:val="16"/>
              </w:rPr>
              <w:t>2025</w:t>
            </w:r>
          </w:p>
        </w:tc>
        <w:tc>
          <w:tcPr>
            <w:tcW w:w="1061" w:type="dxa"/>
            <w:tcBorders>
              <w:bottom w:val="single" w:sz="8" w:space="0" w:color="000000"/>
            </w:tcBorders>
          </w:tcPr>
          <w:p>
            <w:pPr>
              <w:pStyle w:val="TableParagraph"/>
              <w:spacing w:before="132"/>
              <w:ind w:left="330"/>
              <w:rPr>
                <w:b/>
                <w:sz w:val="16"/>
              </w:rPr>
            </w:pPr>
            <w:r>
              <w:rPr>
                <w:b/>
                <w:spacing w:val="-4"/>
                <w:sz w:val="16"/>
              </w:rPr>
              <w:t>2024</w:t>
            </w:r>
          </w:p>
        </w:tc>
      </w:tr>
      <w:tr>
        <w:trPr>
          <w:trHeight w:val="227" w:hRule="atLeast"/>
        </w:trPr>
        <w:tc>
          <w:tcPr>
            <w:tcW w:w="2941" w:type="dxa"/>
          </w:tcPr>
          <w:p>
            <w:pPr>
              <w:pStyle w:val="TableParagraph"/>
              <w:spacing w:before="20"/>
              <w:ind w:left="50"/>
              <w:rPr>
                <w:sz w:val="16"/>
              </w:rPr>
            </w:pPr>
            <w:r>
              <w:rPr>
                <w:sz w:val="16"/>
              </w:rPr>
              <w:t>Cartagena</w:t>
            </w:r>
            <w:r>
              <w:rPr>
                <w:spacing w:val="-8"/>
                <w:sz w:val="16"/>
              </w:rPr>
              <w:t> </w:t>
            </w:r>
            <w:r>
              <w:rPr>
                <w:sz w:val="16"/>
              </w:rPr>
              <w:t>Alta</w:t>
            </w:r>
            <w:r>
              <w:rPr>
                <w:spacing w:val="-6"/>
                <w:sz w:val="16"/>
              </w:rPr>
              <w:t> </w:t>
            </w:r>
            <w:r>
              <w:rPr>
                <w:sz w:val="16"/>
              </w:rPr>
              <w:t>Velocidad,</w:t>
            </w:r>
            <w:r>
              <w:rPr>
                <w:spacing w:val="-7"/>
                <w:sz w:val="16"/>
              </w:rPr>
              <w:t> </w:t>
            </w:r>
            <w:r>
              <w:rPr>
                <w:spacing w:val="-4"/>
                <w:sz w:val="16"/>
              </w:rPr>
              <w:t>S.A.</w:t>
            </w:r>
          </w:p>
        </w:tc>
        <w:tc>
          <w:tcPr>
            <w:tcW w:w="1219" w:type="dxa"/>
            <w:tcBorders>
              <w:top w:val="single" w:sz="8" w:space="0" w:color="000000"/>
              <w:bottom w:val="single" w:sz="8" w:space="0" w:color="000000"/>
            </w:tcBorders>
          </w:tcPr>
          <w:p>
            <w:pPr>
              <w:pStyle w:val="TableParagraph"/>
              <w:spacing w:before="20"/>
              <w:ind w:right="147"/>
              <w:jc w:val="right"/>
              <w:rPr>
                <w:sz w:val="16"/>
              </w:rPr>
            </w:pPr>
            <w:r>
              <w:rPr>
                <w:spacing w:val="-2"/>
                <w:sz w:val="16"/>
              </w:rPr>
              <w:t>29.893,03</w:t>
            </w:r>
          </w:p>
        </w:tc>
        <w:tc>
          <w:tcPr>
            <w:tcW w:w="1061" w:type="dxa"/>
            <w:tcBorders>
              <w:top w:val="single" w:sz="8" w:space="0" w:color="000000"/>
              <w:bottom w:val="single" w:sz="8" w:space="0" w:color="000000"/>
            </w:tcBorders>
          </w:tcPr>
          <w:p>
            <w:pPr>
              <w:pStyle w:val="TableParagraph"/>
              <w:spacing w:before="20"/>
              <w:ind w:right="68"/>
              <w:jc w:val="right"/>
              <w:rPr>
                <w:sz w:val="16"/>
              </w:rPr>
            </w:pPr>
            <w:r>
              <w:rPr>
                <w:spacing w:val="-2"/>
                <w:sz w:val="16"/>
              </w:rPr>
              <w:t>33.294,93</w:t>
            </w:r>
          </w:p>
        </w:tc>
      </w:tr>
      <w:tr>
        <w:trPr>
          <w:trHeight w:val="204" w:hRule="atLeast"/>
        </w:trPr>
        <w:tc>
          <w:tcPr>
            <w:tcW w:w="2941" w:type="dxa"/>
          </w:tcPr>
          <w:p>
            <w:pPr>
              <w:pStyle w:val="TableParagraph"/>
              <w:spacing w:line="164" w:lineRule="exact" w:before="20"/>
              <w:ind w:right="19"/>
              <w:jc w:val="center"/>
              <w:rPr>
                <w:b/>
                <w:sz w:val="16"/>
              </w:rPr>
            </w:pPr>
            <w:r>
              <w:rPr>
                <w:b/>
                <w:spacing w:val="-2"/>
                <w:sz w:val="16"/>
              </w:rPr>
              <w:t>Total</w:t>
            </w:r>
          </w:p>
        </w:tc>
        <w:tc>
          <w:tcPr>
            <w:tcW w:w="1219" w:type="dxa"/>
            <w:tcBorders>
              <w:top w:val="single" w:sz="8" w:space="0" w:color="000000"/>
            </w:tcBorders>
          </w:tcPr>
          <w:p>
            <w:pPr>
              <w:pStyle w:val="TableParagraph"/>
              <w:spacing w:line="164" w:lineRule="exact" w:before="20"/>
              <w:ind w:right="147"/>
              <w:jc w:val="right"/>
              <w:rPr>
                <w:b/>
                <w:sz w:val="16"/>
              </w:rPr>
            </w:pPr>
            <w:r>
              <w:rPr>
                <w:b/>
                <w:spacing w:val="-2"/>
                <w:sz w:val="16"/>
              </w:rPr>
              <w:t>29.893,03</w:t>
            </w:r>
          </w:p>
        </w:tc>
        <w:tc>
          <w:tcPr>
            <w:tcW w:w="1061" w:type="dxa"/>
            <w:tcBorders>
              <w:top w:val="single" w:sz="8" w:space="0" w:color="000000"/>
            </w:tcBorders>
          </w:tcPr>
          <w:p>
            <w:pPr>
              <w:pStyle w:val="TableParagraph"/>
              <w:spacing w:line="164" w:lineRule="exact" w:before="20"/>
              <w:ind w:right="68"/>
              <w:jc w:val="right"/>
              <w:rPr>
                <w:b/>
                <w:sz w:val="16"/>
              </w:rPr>
            </w:pPr>
            <w:r>
              <w:rPr>
                <w:b/>
                <w:spacing w:val="-2"/>
                <w:sz w:val="16"/>
              </w:rPr>
              <w:t>33.294,93</w:t>
            </w:r>
          </w:p>
        </w:tc>
      </w:tr>
    </w:tbl>
    <w:p>
      <w:pPr>
        <w:pStyle w:val="BodyText"/>
        <w:spacing w:before="30"/>
      </w:pPr>
    </w:p>
    <w:p>
      <w:pPr>
        <w:pStyle w:val="BodyText"/>
        <w:spacing w:line="244" w:lineRule="auto"/>
        <w:ind w:left="995" w:right="845"/>
        <w:jc w:val="both"/>
      </w:pPr>
      <w:r>
        <w:rPr/>
        <w:t>Según el acuerdo marco regulador de las relaciones de la Sociedad con el Administrador de Infraestructuras Ferroviarias (ADIF) de fecha 28 de septiembre de 2009, y posterior modificación de fecha 23 de julio de 2010, para la realización de estudios, proyectos y obras correspondientes a las actuaciones</w:t>
      </w:r>
      <w:r>
        <w:rPr>
          <w:spacing w:val="-2"/>
        </w:rPr>
        <w:t> </w:t>
      </w:r>
      <w:r>
        <w:rPr/>
        <w:t>derivadas</w:t>
      </w:r>
      <w:r>
        <w:rPr>
          <w:spacing w:val="-2"/>
        </w:rPr>
        <w:t> </w:t>
      </w:r>
      <w:r>
        <w:rPr/>
        <w:t>del</w:t>
      </w:r>
      <w:r>
        <w:rPr>
          <w:spacing w:val="-1"/>
        </w:rPr>
        <w:t> </w:t>
      </w:r>
      <w:r>
        <w:rPr/>
        <w:t>protocolo</w:t>
      </w:r>
      <w:r>
        <w:rPr>
          <w:spacing w:val="-1"/>
        </w:rPr>
        <w:t> </w:t>
      </w:r>
      <w:r>
        <w:rPr/>
        <w:t>de</w:t>
      </w:r>
      <w:r>
        <w:rPr>
          <w:spacing w:val="-3"/>
        </w:rPr>
        <w:t> </w:t>
      </w:r>
      <w:r>
        <w:rPr/>
        <w:t>22</w:t>
      </w:r>
      <w:r>
        <w:rPr>
          <w:spacing w:val="-1"/>
        </w:rPr>
        <w:t> </w:t>
      </w:r>
      <w:r>
        <w:rPr/>
        <w:t>de</w:t>
      </w:r>
      <w:r>
        <w:rPr>
          <w:spacing w:val="-3"/>
        </w:rPr>
        <w:t> </w:t>
      </w:r>
      <w:r>
        <w:rPr/>
        <w:t>junio</w:t>
      </w:r>
      <w:r>
        <w:rPr>
          <w:spacing w:val="-2"/>
        </w:rPr>
        <w:t> </w:t>
      </w:r>
      <w:r>
        <w:rPr/>
        <w:t>de</w:t>
      </w:r>
      <w:r>
        <w:rPr>
          <w:spacing w:val="-3"/>
        </w:rPr>
        <w:t> </w:t>
      </w:r>
      <w:r>
        <w:rPr/>
        <w:t>2006</w:t>
      </w:r>
      <w:r>
        <w:rPr>
          <w:spacing w:val="-2"/>
        </w:rPr>
        <w:t> </w:t>
      </w:r>
      <w:r>
        <w:rPr/>
        <w:t>así</w:t>
      </w:r>
      <w:r>
        <w:rPr>
          <w:spacing w:val="-2"/>
        </w:rPr>
        <w:t> </w:t>
      </w:r>
      <w:r>
        <w:rPr/>
        <w:t>como</w:t>
      </w:r>
      <w:r>
        <w:rPr>
          <w:spacing w:val="-1"/>
        </w:rPr>
        <w:t> </w:t>
      </w:r>
      <w:r>
        <w:rPr/>
        <w:t>de</w:t>
      </w:r>
      <w:r>
        <w:rPr>
          <w:spacing w:val="-3"/>
        </w:rPr>
        <w:t> </w:t>
      </w:r>
      <w:r>
        <w:rPr/>
        <w:t>la</w:t>
      </w:r>
      <w:r>
        <w:rPr>
          <w:spacing w:val="-2"/>
        </w:rPr>
        <w:t> </w:t>
      </w:r>
      <w:r>
        <w:rPr/>
        <w:t>Adenda</w:t>
      </w:r>
      <w:r>
        <w:rPr>
          <w:spacing w:val="-1"/>
        </w:rPr>
        <w:t> </w:t>
      </w:r>
      <w:r>
        <w:rPr/>
        <w:t>al</w:t>
      </w:r>
      <w:r>
        <w:rPr>
          <w:spacing w:val="-1"/>
        </w:rPr>
        <w:t> </w:t>
      </w:r>
      <w:r>
        <w:rPr/>
        <w:t>Acuerdo Marco suscrita el 26 de julio de 2018 para la ejecución, dirección de las obras y asistencias técnicas </w:t>
      </w:r>
      <w:r>
        <w:rPr>
          <w:spacing w:val="-2"/>
        </w:rPr>
        <w:t>correspondientes al “Proyecto de</w:t>
      </w:r>
      <w:r>
        <w:rPr>
          <w:spacing w:val="-1"/>
        </w:rPr>
        <w:t> </w:t>
      </w:r>
      <w:r>
        <w:rPr>
          <w:spacing w:val="-2"/>
        </w:rPr>
        <w:t>Construcción</w:t>
      </w:r>
      <w:r>
        <w:rPr>
          <w:spacing w:val="-1"/>
        </w:rPr>
        <w:t> </w:t>
      </w:r>
      <w:r>
        <w:rPr>
          <w:spacing w:val="-2"/>
        </w:rPr>
        <w:t>del Soterramiento</w:t>
      </w:r>
      <w:r>
        <w:rPr>
          <w:spacing w:val="-1"/>
        </w:rPr>
        <w:t> </w:t>
      </w:r>
      <w:r>
        <w:rPr>
          <w:spacing w:val="-2"/>
        </w:rPr>
        <w:t>de la</w:t>
      </w:r>
      <w:r>
        <w:rPr>
          <w:spacing w:val="-3"/>
        </w:rPr>
        <w:t> </w:t>
      </w:r>
      <w:r>
        <w:rPr>
          <w:spacing w:val="-2"/>
        </w:rPr>
        <w:t>RAF</w:t>
      </w:r>
      <w:r>
        <w:rPr>
          <w:spacing w:val="-1"/>
        </w:rPr>
        <w:t> </w:t>
      </w:r>
      <w:r>
        <w:rPr>
          <w:spacing w:val="-2"/>
        </w:rPr>
        <w:t>de</w:t>
      </w:r>
      <w:r>
        <w:rPr/>
        <w:t> </w:t>
      </w:r>
      <w:r>
        <w:rPr>
          <w:spacing w:val="-2"/>
        </w:rPr>
        <w:t>Murcia.</w:t>
      </w:r>
      <w:r>
        <w:rPr>
          <w:spacing w:val="-3"/>
        </w:rPr>
        <w:t> </w:t>
      </w:r>
      <w:r>
        <w:rPr>
          <w:spacing w:val="-2"/>
        </w:rPr>
        <w:t>Soterramiento</w:t>
      </w:r>
    </w:p>
    <w:p>
      <w:pPr>
        <w:pStyle w:val="BodyText"/>
        <w:spacing w:after="0" w:line="244" w:lineRule="auto"/>
        <w:jc w:val="both"/>
        <w:sectPr>
          <w:pgSz w:w="11910" w:h="16840"/>
          <w:pgMar w:header="694" w:footer="690" w:top="1920" w:bottom="880" w:left="708" w:right="425"/>
        </w:sectPr>
      </w:pPr>
    </w:p>
    <w:p>
      <w:pPr>
        <w:pStyle w:val="BodyText"/>
        <w:spacing w:line="244" w:lineRule="auto" w:before="187"/>
        <w:ind w:left="995" w:right="845"/>
        <w:jc w:val="both"/>
      </w:pPr>
      <w:r>
        <w:rPr/>
        <w:t>de Estación y Barriomar” y al “Proyecto de Construcción del Soterramiento de la RAF de Murcia. Integración en Nonduermas”, se han recibido durante el ejercicio 2025 prestaciones de servicios por parte de ADIF-Alta Velocidad por importe de 7.427.751,07 euros (2.258.483,88 euros en el ejercicio 2024). A 31 de diciembre de 2025 no hay saldo pendiente correspondiente con</w:t>
      </w:r>
      <w:r>
        <w:rPr>
          <w:spacing w:val="-1"/>
        </w:rPr>
        <w:t> </w:t>
      </w:r>
      <w:r>
        <w:rPr/>
        <w:t>la facturación emitida en diciembre de 2025 (624.907,42 euros a 31 de diciembre de 2024).</w:t>
      </w:r>
    </w:p>
    <w:p>
      <w:pPr>
        <w:pStyle w:val="BodyText"/>
      </w:pPr>
    </w:p>
    <w:p>
      <w:pPr>
        <w:pStyle w:val="BodyText"/>
        <w:spacing w:line="244" w:lineRule="auto"/>
        <w:ind w:left="995" w:right="844"/>
        <w:jc w:val="both"/>
      </w:pPr>
      <w:r>
        <w:rPr/>
        <w:t>De acuerdo con el Convenio suscrito entre la Sociedad y el Ayuntamiento de Murcia de fecha 13 de julio de 2020 por el que se establecen los términos y condiciones que regulan las relaciones entre la Sociedad y el Ayuntamiento de Murcia para la realización de estudios y proyectos de planeamiento, gestión</w:t>
      </w:r>
      <w:r>
        <w:rPr>
          <w:spacing w:val="-6"/>
        </w:rPr>
        <w:t> </w:t>
      </w:r>
      <w:r>
        <w:rPr/>
        <w:t>urbanística</w:t>
      </w:r>
      <w:r>
        <w:rPr>
          <w:spacing w:val="-7"/>
        </w:rPr>
        <w:t> </w:t>
      </w:r>
      <w:r>
        <w:rPr/>
        <w:t>y</w:t>
      </w:r>
      <w:r>
        <w:rPr>
          <w:spacing w:val="-6"/>
        </w:rPr>
        <w:t> </w:t>
      </w:r>
      <w:r>
        <w:rPr/>
        <w:t>de</w:t>
      </w:r>
      <w:r>
        <w:rPr>
          <w:spacing w:val="-7"/>
        </w:rPr>
        <w:t> </w:t>
      </w:r>
      <w:r>
        <w:rPr/>
        <w:t>urbanización</w:t>
      </w:r>
      <w:r>
        <w:rPr>
          <w:spacing w:val="-6"/>
        </w:rPr>
        <w:t> </w:t>
      </w:r>
      <w:r>
        <w:rPr/>
        <w:t>y</w:t>
      </w:r>
      <w:r>
        <w:rPr>
          <w:spacing w:val="-6"/>
        </w:rPr>
        <w:t> </w:t>
      </w:r>
      <w:r>
        <w:rPr/>
        <w:t>la</w:t>
      </w:r>
      <w:r>
        <w:rPr>
          <w:spacing w:val="-8"/>
        </w:rPr>
        <w:t> </w:t>
      </w:r>
      <w:r>
        <w:rPr/>
        <w:t>dirección</w:t>
      </w:r>
      <w:r>
        <w:rPr>
          <w:spacing w:val="-6"/>
        </w:rPr>
        <w:t> </w:t>
      </w:r>
      <w:r>
        <w:rPr/>
        <w:t>facultativa</w:t>
      </w:r>
      <w:r>
        <w:rPr>
          <w:spacing w:val="-7"/>
        </w:rPr>
        <w:t> </w:t>
      </w:r>
      <w:r>
        <w:rPr/>
        <w:t>y</w:t>
      </w:r>
      <w:r>
        <w:rPr>
          <w:spacing w:val="-8"/>
        </w:rPr>
        <w:t> </w:t>
      </w:r>
      <w:r>
        <w:rPr/>
        <w:t>de</w:t>
      </w:r>
      <w:r>
        <w:rPr>
          <w:spacing w:val="-7"/>
        </w:rPr>
        <w:t> </w:t>
      </w:r>
      <w:r>
        <w:rPr/>
        <w:t>coordinación</w:t>
      </w:r>
      <w:r>
        <w:rPr>
          <w:spacing w:val="-7"/>
        </w:rPr>
        <w:t> </w:t>
      </w:r>
      <w:r>
        <w:rPr/>
        <w:t>de</w:t>
      </w:r>
      <w:r>
        <w:rPr>
          <w:spacing w:val="-8"/>
        </w:rPr>
        <w:t> </w:t>
      </w:r>
      <w:r>
        <w:rPr/>
        <w:t>seguridad</w:t>
      </w:r>
      <w:r>
        <w:rPr>
          <w:spacing w:val="-7"/>
        </w:rPr>
        <w:t> </w:t>
      </w:r>
      <w:r>
        <w:rPr/>
        <w:t>y</w:t>
      </w:r>
      <w:r>
        <w:rPr>
          <w:spacing w:val="-9"/>
        </w:rPr>
        <w:t> </w:t>
      </w:r>
      <w:r>
        <w:rPr/>
        <w:t>salud de las obras que sean necesarias para el cumplimiento de los fines de la Adenda Modificativa al Convenio de 2006, y con el Convenio entre la Sociedad y el Ayuntamiento de Murcia de fecha 4 de octubre de 2024, se han recibido durante el ejercicio 2025 prestaciones de servicios por los trabajos encomendados de las actuaciones urbanísticas por parte del Ayuntamiento de Murcia por importe de 159.823,61 euros (155.112,89 euros en el ejercicio 2024). A 31 de diciembre de 2025 existe un saldo pendiente de pago corresponde por importe de 166.002,59 euros (107.102,35 euros en el ejercicio 2024), que corresponden a los importes periodificados, al cierre de los ejercicios 2025 y 2024.</w:t>
      </w:r>
    </w:p>
    <w:p>
      <w:pPr>
        <w:pStyle w:val="BodyText"/>
        <w:spacing w:line="252" w:lineRule="auto" w:before="248"/>
        <w:ind w:left="995" w:right="884"/>
        <w:jc w:val="both"/>
      </w:pPr>
      <w:r>
        <w:rPr/>
        <w:t>La</w:t>
      </w:r>
      <w:r>
        <w:rPr>
          <w:spacing w:val="-12"/>
        </w:rPr>
        <w:t> </w:t>
      </w:r>
      <w:r>
        <w:rPr/>
        <w:t>política</w:t>
      </w:r>
      <w:r>
        <w:rPr>
          <w:spacing w:val="-11"/>
        </w:rPr>
        <w:t> </w:t>
      </w:r>
      <w:r>
        <w:rPr/>
        <w:t>de</w:t>
      </w:r>
      <w:r>
        <w:rPr>
          <w:spacing w:val="-14"/>
        </w:rPr>
        <w:t> </w:t>
      </w:r>
      <w:r>
        <w:rPr/>
        <w:t>precios</w:t>
      </w:r>
      <w:r>
        <w:rPr>
          <w:spacing w:val="-11"/>
        </w:rPr>
        <w:t> </w:t>
      </w:r>
      <w:r>
        <w:rPr/>
        <w:t>seguida</w:t>
      </w:r>
      <w:r>
        <w:rPr>
          <w:spacing w:val="-11"/>
        </w:rPr>
        <w:t> </w:t>
      </w:r>
      <w:r>
        <w:rPr/>
        <w:t>en</w:t>
      </w:r>
      <w:r>
        <w:rPr>
          <w:spacing w:val="-12"/>
        </w:rPr>
        <w:t> </w:t>
      </w:r>
      <w:r>
        <w:rPr/>
        <w:t>la</w:t>
      </w:r>
      <w:r>
        <w:rPr>
          <w:spacing w:val="-13"/>
        </w:rPr>
        <w:t> </w:t>
      </w:r>
      <w:r>
        <w:rPr/>
        <w:t>totalidad</w:t>
      </w:r>
      <w:r>
        <w:rPr>
          <w:spacing w:val="-11"/>
        </w:rPr>
        <w:t> </w:t>
      </w:r>
      <w:r>
        <w:rPr/>
        <w:t>de</w:t>
      </w:r>
      <w:r>
        <w:rPr>
          <w:spacing w:val="-12"/>
        </w:rPr>
        <w:t> </w:t>
      </w:r>
      <w:r>
        <w:rPr/>
        <w:t>transacciones</w:t>
      </w:r>
      <w:r>
        <w:rPr>
          <w:spacing w:val="-12"/>
        </w:rPr>
        <w:t> </w:t>
      </w:r>
      <w:r>
        <w:rPr/>
        <w:t>realizadas</w:t>
      </w:r>
      <w:r>
        <w:rPr>
          <w:spacing w:val="-12"/>
        </w:rPr>
        <w:t> </w:t>
      </w:r>
      <w:r>
        <w:rPr/>
        <w:t>durante</w:t>
      </w:r>
      <w:r>
        <w:rPr>
          <w:spacing w:val="-12"/>
        </w:rPr>
        <w:t> </w:t>
      </w:r>
      <w:r>
        <w:rPr/>
        <w:t>el</w:t>
      </w:r>
      <w:r>
        <w:rPr>
          <w:spacing w:val="-13"/>
        </w:rPr>
        <w:t> </w:t>
      </w:r>
      <w:r>
        <w:rPr/>
        <w:t>ejercicio</w:t>
      </w:r>
      <w:r>
        <w:rPr>
          <w:spacing w:val="-12"/>
        </w:rPr>
        <w:t> </w:t>
      </w:r>
      <w:r>
        <w:rPr/>
        <w:t>obedece</w:t>
      </w:r>
      <w:r>
        <w:rPr>
          <w:spacing w:val="-12"/>
        </w:rPr>
        <w:t> </w:t>
      </w:r>
      <w:r>
        <w:rPr/>
        <w:t>a la aplicación del valor normal de mercado, de acuerdo con el artículo 18 del Texto Refundido de la Ley del Impuesto sobre Sociedades.</w:t>
      </w:r>
    </w:p>
    <w:p>
      <w:pPr>
        <w:pStyle w:val="BodyText"/>
      </w:pPr>
    </w:p>
    <w:p>
      <w:pPr>
        <w:pStyle w:val="Heading1"/>
        <w:numPr>
          <w:ilvl w:val="1"/>
          <w:numId w:val="11"/>
        </w:numPr>
        <w:tabs>
          <w:tab w:pos="1354" w:val="left" w:leader="none"/>
        </w:tabs>
        <w:spacing w:line="240" w:lineRule="auto" w:before="0" w:after="0"/>
        <w:ind w:left="1354" w:right="0" w:hanging="359"/>
        <w:jc w:val="left"/>
      </w:pPr>
      <w:r>
        <w:rPr/>
        <w:t>Saldos</w:t>
      </w:r>
      <w:r>
        <w:rPr>
          <w:spacing w:val="-8"/>
        </w:rPr>
        <w:t> </w:t>
      </w:r>
      <w:r>
        <w:rPr/>
        <w:t>con</w:t>
      </w:r>
      <w:r>
        <w:rPr>
          <w:spacing w:val="-7"/>
        </w:rPr>
        <w:t> </w:t>
      </w:r>
      <w:r>
        <w:rPr/>
        <w:t>empresas</w:t>
      </w:r>
      <w:r>
        <w:rPr>
          <w:spacing w:val="-8"/>
        </w:rPr>
        <w:t> </w:t>
      </w:r>
      <w:r>
        <w:rPr>
          <w:spacing w:val="-2"/>
        </w:rPr>
        <w:t>vinculadas</w:t>
      </w:r>
    </w:p>
    <w:p>
      <w:pPr>
        <w:pStyle w:val="BodyText"/>
        <w:spacing w:before="8"/>
        <w:rPr>
          <w:b/>
        </w:rPr>
      </w:pPr>
    </w:p>
    <w:p>
      <w:pPr>
        <w:pStyle w:val="BodyText"/>
        <w:ind w:left="995"/>
        <w:jc w:val="both"/>
      </w:pPr>
      <w:r>
        <w:rPr/>
        <w:t>La</w:t>
      </w:r>
      <w:r>
        <w:rPr>
          <w:spacing w:val="-11"/>
        </w:rPr>
        <w:t> </w:t>
      </w:r>
      <w:r>
        <w:rPr/>
        <w:t>información</w:t>
      </w:r>
      <w:r>
        <w:rPr>
          <w:spacing w:val="-10"/>
        </w:rPr>
        <w:t> </w:t>
      </w:r>
      <w:r>
        <w:rPr/>
        <w:t>de</w:t>
      </w:r>
      <w:r>
        <w:rPr>
          <w:spacing w:val="-11"/>
        </w:rPr>
        <w:t> </w:t>
      </w:r>
      <w:r>
        <w:rPr/>
        <w:t>los</w:t>
      </w:r>
      <w:r>
        <w:rPr>
          <w:spacing w:val="-11"/>
        </w:rPr>
        <w:t> </w:t>
      </w:r>
      <w:r>
        <w:rPr/>
        <w:t>saldos</w:t>
      </w:r>
      <w:r>
        <w:rPr>
          <w:spacing w:val="-11"/>
        </w:rPr>
        <w:t> </w:t>
      </w:r>
      <w:r>
        <w:rPr/>
        <w:t>con</w:t>
      </w:r>
      <w:r>
        <w:rPr>
          <w:spacing w:val="-10"/>
        </w:rPr>
        <w:t> </w:t>
      </w:r>
      <w:r>
        <w:rPr/>
        <w:t>partes</w:t>
      </w:r>
      <w:r>
        <w:rPr>
          <w:spacing w:val="-12"/>
        </w:rPr>
        <w:t> </w:t>
      </w:r>
      <w:r>
        <w:rPr/>
        <w:t>vinculadas</w:t>
      </w:r>
      <w:r>
        <w:rPr>
          <w:spacing w:val="-11"/>
        </w:rPr>
        <w:t> </w:t>
      </w:r>
      <w:r>
        <w:rPr/>
        <w:t>de</w:t>
      </w:r>
      <w:r>
        <w:rPr>
          <w:spacing w:val="-11"/>
        </w:rPr>
        <w:t> </w:t>
      </w:r>
      <w:r>
        <w:rPr/>
        <w:t>la</w:t>
      </w:r>
      <w:r>
        <w:rPr>
          <w:spacing w:val="-10"/>
        </w:rPr>
        <w:t> </w:t>
      </w:r>
      <w:r>
        <w:rPr/>
        <w:t>Sociedad</w:t>
      </w:r>
      <w:r>
        <w:rPr>
          <w:spacing w:val="-11"/>
        </w:rPr>
        <w:t> </w:t>
      </w:r>
      <w:r>
        <w:rPr/>
        <w:t>se</w:t>
      </w:r>
      <w:r>
        <w:rPr>
          <w:spacing w:val="-12"/>
        </w:rPr>
        <w:t> </w:t>
      </w:r>
      <w:r>
        <w:rPr/>
        <w:t>recoge</w:t>
      </w:r>
      <w:r>
        <w:rPr>
          <w:spacing w:val="-11"/>
        </w:rPr>
        <w:t> </w:t>
      </w:r>
      <w:r>
        <w:rPr/>
        <w:t>en</w:t>
      </w:r>
      <w:r>
        <w:rPr>
          <w:spacing w:val="-11"/>
        </w:rPr>
        <w:t> </w:t>
      </w:r>
      <w:r>
        <w:rPr/>
        <w:t>los</w:t>
      </w:r>
      <w:r>
        <w:rPr>
          <w:spacing w:val="-12"/>
        </w:rPr>
        <w:t> </w:t>
      </w:r>
      <w:r>
        <w:rPr/>
        <w:t>siguientes</w:t>
      </w:r>
      <w:r>
        <w:rPr>
          <w:spacing w:val="-10"/>
        </w:rPr>
        <w:t> </w:t>
      </w:r>
      <w:r>
        <w:rPr>
          <w:spacing w:val="-2"/>
        </w:rPr>
        <w:t>cuadros:</w:t>
      </w:r>
    </w:p>
    <w:p>
      <w:pPr>
        <w:pStyle w:val="BodyText"/>
        <w:spacing w:before="51"/>
      </w:pPr>
    </w:p>
    <w:p>
      <w:pPr>
        <w:tabs>
          <w:tab w:pos="4768" w:val="left" w:leader="none"/>
          <w:tab w:pos="6618" w:val="left" w:leader="none"/>
          <w:tab w:pos="7686" w:val="left" w:leader="none"/>
          <w:tab w:pos="9317" w:val="left" w:leader="none"/>
        </w:tabs>
        <w:spacing w:before="1" w:after="49"/>
        <w:ind w:left="4322" w:right="0" w:firstLine="0"/>
        <w:jc w:val="left"/>
        <w:rPr>
          <w:b/>
          <w:sz w:val="16"/>
        </w:rPr>
      </w:pPr>
      <w:r>
        <w:rPr>
          <w:b/>
          <w:sz w:val="16"/>
          <w:u w:val="single"/>
        </w:rPr>
        <w:tab/>
        <w:t>Compras</w:t>
      </w:r>
      <w:r>
        <w:rPr>
          <w:b/>
          <w:spacing w:val="-5"/>
          <w:sz w:val="16"/>
          <w:u w:val="single"/>
        </w:rPr>
        <w:t> </w:t>
      </w:r>
      <w:r>
        <w:rPr>
          <w:b/>
          <w:sz w:val="16"/>
          <w:u w:val="single"/>
        </w:rPr>
        <w:t>y</w:t>
      </w:r>
      <w:r>
        <w:rPr>
          <w:b/>
          <w:spacing w:val="-4"/>
          <w:sz w:val="16"/>
          <w:u w:val="single"/>
        </w:rPr>
        <w:t> </w:t>
      </w:r>
      <w:r>
        <w:rPr>
          <w:b/>
          <w:spacing w:val="-2"/>
          <w:sz w:val="16"/>
          <w:u w:val="single"/>
        </w:rPr>
        <w:t>Servicios</w:t>
      </w:r>
      <w:r>
        <w:rPr>
          <w:b/>
          <w:sz w:val="16"/>
          <w:u w:val="single"/>
        </w:rPr>
        <w:tab/>
      </w:r>
      <w:r>
        <w:rPr>
          <w:b/>
          <w:spacing w:val="107"/>
          <w:sz w:val="16"/>
          <w:u w:val="none"/>
        </w:rPr>
        <w:t> </w:t>
      </w:r>
      <w:r>
        <w:rPr>
          <w:b/>
          <w:sz w:val="16"/>
          <w:u w:val="single"/>
        </w:rPr>
        <w:tab/>
      </w:r>
      <w:r>
        <w:rPr>
          <w:b/>
          <w:spacing w:val="-2"/>
          <w:sz w:val="16"/>
          <w:u w:val="single"/>
        </w:rPr>
        <w:t>Préstamos</w:t>
      </w:r>
      <w:r>
        <w:rPr>
          <w:b/>
          <w:sz w:val="16"/>
          <w:u w:val="single"/>
        </w:rPr>
        <w:tab/>
      </w: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00"/>
        <w:gridCol w:w="1266"/>
        <w:gridCol w:w="1030"/>
        <w:gridCol w:w="147"/>
        <w:gridCol w:w="1343"/>
        <w:gridCol w:w="1207"/>
      </w:tblGrid>
      <w:tr>
        <w:trPr>
          <w:trHeight w:val="198" w:hRule="atLeast"/>
        </w:trPr>
        <w:tc>
          <w:tcPr>
            <w:tcW w:w="2700" w:type="dxa"/>
          </w:tcPr>
          <w:p>
            <w:pPr>
              <w:pStyle w:val="TableParagraph"/>
              <w:spacing w:line="177" w:lineRule="exact"/>
              <w:ind w:left="50"/>
              <w:rPr>
                <w:b/>
                <w:sz w:val="16"/>
              </w:rPr>
            </w:pPr>
            <w:r>
              <w:rPr>
                <w:b/>
                <w:sz w:val="16"/>
              </w:rPr>
              <w:t>Saldos</w:t>
            </w:r>
            <w:r>
              <w:rPr>
                <w:b/>
                <w:spacing w:val="-6"/>
                <w:sz w:val="16"/>
              </w:rPr>
              <w:t> </w:t>
            </w:r>
            <w:r>
              <w:rPr>
                <w:b/>
                <w:spacing w:val="-2"/>
                <w:sz w:val="16"/>
              </w:rPr>
              <w:t>Acreedores</w:t>
            </w:r>
          </w:p>
        </w:tc>
        <w:tc>
          <w:tcPr>
            <w:tcW w:w="1266" w:type="dxa"/>
            <w:tcBorders>
              <w:bottom w:val="single" w:sz="8" w:space="0" w:color="000000"/>
            </w:tcBorders>
          </w:tcPr>
          <w:p>
            <w:pPr>
              <w:pStyle w:val="TableParagraph"/>
              <w:spacing w:line="177" w:lineRule="exact"/>
              <w:ind w:left="412"/>
              <w:rPr>
                <w:b/>
                <w:sz w:val="16"/>
              </w:rPr>
            </w:pPr>
            <w:r>
              <w:rPr>
                <w:b/>
                <w:spacing w:val="-4"/>
                <w:sz w:val="16"/>
              </w:rPr>
              <w:t>2025</w:t>
            </w:r>
          </w:p>
        </w:tc>
        <w:tc>
          <w:tcPr>
            <w:tcW w:w="1030" w:type="dxa"/>
            <w:tcBorders>
              <w:bottom w:val="single" w:sz="8" w:space="0" w:color="000000"/>
            </w:tcBorders>
          </w:tcPr>
          <w:p>
            <w:pPr>
              <w:pStyle w:val="TableParagraph"/>
              <w:spacing w:line="177" w:lineRule="exact"/>
              <w:ind w:left="295"/>
              <w:rPr>
                <w:b/>
                <w:sz w:val="16"/>
              </w:rPr>
            </w:pPr>
            <w:r>
              <w:rPr>
                <w:b/>
                <w:spacing w:val="-4"/>
                <w:sz w:val="16"/>
              </w:rPr>
              <w:t>2024</w:t>
            </w:r>
          </w:p>
        </w:tc>
        <w:tc>
          <w:tcPr>
            <w:tcW w:w="147" w:type="dxa"/>
          </w:tcPr>
          <w:p>
            <w:pPr>
              <w:pStyle w:val="TableParagraph"/>
              <w:rPr>
                <w:sz w:val="12"/>
              </w:rPr>
            </w:pPr>
          </w:p>
        </w:tc>
        <w:tc>
          <w:tcPr>
            <w:tcW w:w="1343" w:type="dxa"/>
            <w:tcBorders>
              <w:bottom w:val="single" w:sz="8" w:space="0" w:color="000000"/>
            </w:tcBorders>
          </w:tcPr>
          <w:p>
            <w:pPr>
              <w:pStyle w:val="TableParagraph"/>
              <w:spacing w:line="177" w:lineRule="exact"/>
              <w:ind w:right="12"/>
              <w:jc w:val="center"/>
              <w:rPr>
                <w:b/>
                <w:sz w:val="16"/>
              </w:rPr>
            </w:pPr>
            <w:r>
              <w:rPr>
                <w:b/>
                <w:spacing w:val="-4"/>
                <w:sz w:val="16"/>
              </w:rPr>
              <w:t>2025</w:t>
            </w:r>
          </w:p>
        </w:tc>
        <w:tc>
          <w:tcPr>
            <w:tcW w:w="1207" w:type="dxa"/>
            <w:tcBorders>
              <w:bottom w:val="single" w:sz="8" w:space="0" w:color="000000"/>
            </w:tcBorders>
          </w:tcPr>
          <w:p>
            <w:pPr>
              <w:pStyle w:val="TableParagraph"/>
              <w:spacing w:line="177" w:lineRule="exact"/>
              <w:ind w:right="10"/>
              <w:jc w:val="center"/>
              <w:rPr>
                <w:b/>
                <w:sz w:val="16"/>
              </w:rPr>
            </w:pPr>
            <w:r>
              <w:rPr>
                <w:b/>
                <w:spacing w:val="-4"/>
                <w:sz w:val="16"/>
              </w:rPr>
              <w:t>2024</w:t>
            </w:r>
          </w:p>
        </w:tc>
      </w:tr>
      <w:tr>
        <w:trPr>
          <w:trHeight w:val="230" w:hRule="atLeast"/>
        </w:trPr>
        <w:tc>
          <w:tcPr>
            <w:tcW w:w="2700" w:type="dxa"/>
          </w:tcPr>
          <w:p>
            <w:pPr>
              <w:pStyle w:val="TableParagraph"/>
              <w:spacing w:before="20"/>
              <w:ind w:left="50"/>
              <w:rPr>
                <w:sz w:val="16"/>
              </w:rPr>
            </w:pPr>
            <w:r>
              <w:rPr>
                <w:sz w:val="16"/>
              </w:rPr>
              <w:t>ADIF</w:t>
            </w:r>
            <w:r>
              <w:rPr>
                <w:spacing w:val="-4"/>
                <w:sz w:val="16"/>
              </w:rPr>
              <w:t> </w:t>
            </w:r>
            <w:r>
              <w:rPr>
                <w:sz w:val="16"/>
              </w:rPr>
              <w:t>-</w:t>
            </w:r>
            <w:r>
              <w:rPr>
                <w:spacing w:val="-5"/>
                <w:sz w:val="16"/>
              </w:rPr>
              <w:t> AV</w:t>
            </w:r>
          </w:p>
        </w:tc>
        <w:tc>
          <w:tcPr>
            <w:tcW w:w="1266" w:type="dxa"/>
            <w:tcBorders>
              <w:top w:val="single" w:sz="8" w:space="0" w:color="000000"/>
            </w:tcBorders>
          </w:tcPr>
          <w:p>
            <w:pPr>
              <w:pStyle w:val="TableParagraph"/>
              <w:rPr>
                <w:sz w:val="16"/>
              </w:rPr>
            </w:pPr>
          </w:p>
        </w:tc>
        <w:tc>
          <w:tcPr>
            <w:tcW w:w="1030" w:type="dxa"/>
            <w:tcBorders>
              <w:top w:val="single" w:sz="8" w:space="0" w:color="000000"/>
            </w:tcBorders>
          </w:tcPr>
          <w:p>
            <w:pPr>
              <w:pStyle w:val="TableParagraph"/>
              <w:spacing w:before="20"/>
              <w:ind w:right="68"/>
              <w:jc w:val="right"/>
              <w:rPr>
                <w:sz w:val="16"/>
              </w:rPr>
            </w:pPr>
            <w:r>
              <w:rPr>
                <w:spacing w:val="-2"/>
                <w:sz w:val="16"/>
              </w:rPr>
              <w:t>-624.907,42</w:t>
            </w:r>
          </w:p>
        </w:tc>
        <w:tc>
          <w:tcPr>
            <w:tcW w:w="147" w:type="dxa"/>
          </w:tcPr>
          <w:p>
            <w:pPr>
              <w:pStyle w:val="TableParagraph"/>
              <w:rPr>
                <w:sz w:val="16"/>
              </w:rPr>
            </w:pPr>
          </w:p>
        </w:tc>
        <w:tc>
          <w:tcPr>
            <w:tcW w:w="1343" w:type="dxa"/>
            <w:tcBorders>
              <w:top w:val="single" w:sz="8" w:space="0" w:color="000000"/>
            </w:tcBorders>
          </w:tcPr>
          <w:p>
            <w:pPr>
              <w:pStyle w:val="TableParagraph"/>
              <w:spacing w:before="20"/>
              <w:ind w:right="82"/>
              <w:jc w:val="right"/>
              <w:rPr>
                <w:sz w:val="16"/>
              </w:rPr>
            </w:pPr>
            <w:r>
              <w:rPr>
                <w:spacing w:val="-2"/>
                <w:sz w:val="16"/>
              </w:rPr>
              <w:t>-300.898.187,00</w:t>
            </w:r>
          </w:p>
        </w:tc>
        <w:tc>
          <w:tcPr>
            <w:tcW w:w="1207" w:type="dxa"/>
            <w:tcBorders>
              <w:top w:val="single" w:sz="8" w:space="0" w:color="000000"/>
            </w:tcBorders>
          </w:tcPr>
          <w:p>
            <w:pPr>
              <w:pStyle w:val="TableParagraph"/>
              <w:spacing w:before="20"/>
              <w:ind w:right="66"/>
              <w:jc w:val="right"/>
              <w:rPr>
                <w:sz w:val="16"/>
              </w:rPr>
            </w:pPr>
            <w:r>
              <w:rPr>
                <w:spacing w:val="-2"/>
                <w:sz w:val="16"/>
              </w:rPr>
              <w:t>-234.419.390,00</w:t>
            </w:r>
          </w:p>
        </w:tc>
      </w:tr>
      <w:tr>
        <w:trPr>
          <w:trHeight w:val="227" w:hRule="atLeast"/>
        </w:trPr>
        <w:tc>
          <w:tcPr>
            <w:tcW w:w="2700" w:type="dxa"/>
          </w:tcPr>
          <w:p>
            <w:pPr>
              <w:pStyle w:val="TableParagraph"/>
              <w:spacing w:before="18"/>
              <w:ind w:left="50"/>
              <w:rPr>
                <w:sz w:val="16"/>
              </w:rPr>
            </w:pPr>
            <w:r>
              <w:rPr>
                <w:spacing w:val="-4"/>
                <w:sz w:val="16"/>
              </w:rPr>
              <w:t>ADIF</w:t>
            </w:r>
          </w:p>
        </w:tc>
        <w:tc>
          <w:tcPr>
            <w:tcW w:w="1266" w:type="dxa"/>
          </w:tcPr>
          <w:p>
            <w:pPr>
              <w:pStyle w:val="TableParagraph"/>
              <w:rPr>
                <w:sz w:val="16"/>
              </w:rPr>
            </w:pPr>
          </w:p>
        </w:tc>
        <w:tc>
          <w:tcPr>
            <w:tcW w:w="1030" w:type="dxa"/>
          </w:tcPr>
          <w:p>
            <w:pPr>
              <w:pStyle w:val="TableParagraph"/>
              <w:rPr>
                <w:sz w:val="16"/>
              </w:rPr>
            </w:pPr>
          </w:p>
        </w:tc>
        <w:tc>
          <w:tcPr>
            <w:tcW w:w="147" w:type="dxa"/>
          </w:tcPr>
          <w:p>
            <w:pPr>
              <w:pStyle w:val="TableParagraph"/>
              <w:rPr>
                <w:sz w:val="16"/>
              </w:rPr>
            </w:pPr>
          </w:p>
        </w:tc>
        <w:tc>
          <w:tcPr>
            <w:tcW w:w="1343" w:type="dxa"/>
          </w:tcPr>
          <w:p>
            <w:pPr>
              <w:pStyle w:val="TableParagraph"/>
              <w:spacing w:before="18"/>
              <w:ind w:right="82"/>
              <w:jc w:val="right"/>
              <w:rPr>
                <w:sz w:val="16"/>
              </w:rPr>
            </w:pPr>
            <w:r>
              <w:rPr>
                <w:spacing w:val="-2"/>
                <w:sz w:val="16"/>
              </w:rPr>
              <w:t>-964.750,00</w:t>
            </w:r>
          </w:p>
        </w:tc>
        <w:tc>
          <w:tcPr>
            <w:tcW w:w="1207" w:type="dxa"/>
          </w:tcPr>
          <w:p>
            <w:pPr>
              <w:pStyle w:val="TableParagraph"/>
              <w:spacing w:before="18"/>
              <w:ind w:right="65"/>
              <w:jc w:val="right"/>
              <w:rPr>
                <w:sz w:val="16"/>
              </w:rPr>
            </w:pPr>
            <w:r>
              <w:rPr>
                <w:spacing w:val="-2"/>
                <w:sz w:val="16"/>
              </w:rPr>
              <w:t>-879.750,00</w:t>
            </w:r>
          </w:p>
        </w:tc>
      </w:tr>
      <w:tr>
        <w:trPr>
          <w:trHeight w:val="226" w:hRule="atLeast"/>
        </w:trPr>
        <w:tc>
          <w:tcPr>
            <w:tcW w:w="2700" w:type="dxa"/>
          </w:tcPr>
          <w:p>
            <w:pPr>
              <w:pStyle w:val="TableParagraph"/>
              <w:spacing w:before="18"/>
              <w:ind w:left="50"/>
              <w:rPr>
                <w:sz w:val="16"/>
              </w:rPr>
            </w:pPr>
            <w:r>
              <w:rPr>
                <w:spacing w:val="-4"/>
                <w:sz w:val="16"/>
              </w:rPr>
              <w:t>CARM</w:t>
            </w:r>
          </w:p>
        </w:tc>
        <w:tc>
          <w:tcPr>
            <w:tcW w:w="1266" w:type="dxa"/>
          </w:tcPr>
          <w:p>
            <w:pPr>
              <w:pStyle w:val="TableParagraph"/>
              <w:rPr>
                <w:sz w:val="16"/>
              </w:rPr>
            </w:pPr>
          </w:p>
        </w:tc>
        <w:tc>
          <w:tcPr>
            <w:tcW w:w="1030" w:type="dxa"/>
          </w:tcPr>
          <w:p>
            <w:pPr>
              <w:pStyle w:val="TableParagraph"/>
              <w:rPr>
                <w:sz w:val="16"/>
              </w:rPr>
            </w:pPr>
          </w:p>
        </w:tc>
        <w:tc>
          <w:tcPr>
            <w:tcW w:w="147" w:type="dxa"/>
          </w:tcPr>
          <w:p>
            <w:pPr>
              <w:pStyle w:val="TableParagraph"/>
              <w:rPr>
                <w:sz w:val="16"/>
              </w:rPr>
            </w:pPr>
          </w:p>
        </w:tc>
        <w:tc>
          <w:tcPr>
            <w:tcW w:w="1343" w:type="dxa"/>
          </w:tcPr>
          <w:p>
            <w:pPr>
              <w:pStyle w:val="TableParagraph"/>
              <w:spacing w:before="18"/>
              <w:ind w:right="82"/>
              <w:jc w:val="right"/>
              <w:rPr>
                <w:sz w:val="16"/>
              </w:rPr>
            </w:pPr>
            <w:r>
              <w:rPr>
                <w:spacing w:val="-2"/>
                <w:sz w:val="16"/>
              </w:rPr>
              <w:t>-119.427.262,00</w:t>
            </w:r>
          </w:p>
        </w:tc>
        <w:tc>
          <w:tcPr>
            <w:tcW w:w="1207" w:type="dxa"/>
          </w:tcPr>
          <w:p>
            <w:pPr>
              <w:pStyle w:val="TableParagraph"/>
              <w:spacing w:before="18"/>
              <w:ind w:right="65"/>
              <w:jc w:val="right"/>
              <w:rPr>
                <w:sz w:val="16"/>
              </w:rPr>
            </w:pPr>
            <w:r>
              <w:rPr>
                <w:spacing w:val="-2"/>
                <w:sz w:val="16"/>
              </w:rPr>
              <w:t>-93.160.135,00</w:t>
            </w:r>
          </w:p>
        </w:tc>
      </w:tr>
      <w:tr>
        <w:trPr>
          <w:trHeight w:val="226" w:hRule="atLeast"/>
        </w:trPr>
        <w:tc>
          <w:tcPr>
            <w:tcW w:w="2700" w:type="dxa"/>
          </w:tcPr>
          <w:p>
            <w:pPr>
              <w:pStyle w:val="TableParagraph"/>
              <w:spacing w:before="18"/>
              <w:ind w:left="50"/>
              <w:rPr>
                <w:sz w:val="16"/>
              </w:rPr>
            </w:pPr>
            <w:r>
              <w:rPr>
                <w:sz w:val="16"/>
              </w:rPr>
              <w:t>Ayuntamiento</w:t>
            </w:r>
            <w:r>
              <w:rPr>
                <w:spacing w:val="-6"/>
                <w:sz w:val="16"/>
              </w:rPr>
              <w:t> </w:t>
            </w:r>
            <w:r>
              <w:rPr>
                <w:sz w:val="16"/>
              </w:rPr>
              <w:t>de</w:t>
            </w:r>
            <w:r>
              <w:rPr>
                <w:spacing w:val="-7"/>
                <w:sz w:val="16"/>
              </w:rPr>
              <w:t> </w:t>
            </w:r>
            <w:r>
              <w:rPr>
                <w:spacing w:val="-2"/>
                <w:sz w:val="16"/>
              </w:rPr>
              <w:t>Murcia</w:t>
            </w:r>
          </w:p>
        </w:tc>
        <w:tc>
          <w:tcPr>
            <w:tcW w:w="1266" w:type="dxa"/>
          </w:tcPr>
          <w:p>
            <w:pPr>
              <w:pStyle w:val="TableParagraph"/>
              <w:spacing w:before="18"/>
              <w:ind w:right="186"/>
              <w:jc w:val="right"/>
              <w:rPr>
                <w:sz w:val="16"/>
              </w:rPr>
            </w:pPr>
            <w:r>
              <w:rPr>
                <w:spacing w:val="-2"/>
                <w:sz w:val="16"/>
              </w:rPr>
              <w:t>-166.002,59</w:t>
            </w:r>
          </w:p>
        </w:tc>
        <w:tc>
          <w:tcPr>
            <w:tcW w:w="1030" w:type="dxa"/>
          </w:tcPr>
          <w:p>
            <w:pPr>
              <w:pStyle w:val="TableParagraph"/>
              <w:spacing w:before="18"/>
              <w:ind w:right="68"/>
              <w:jc w:val="right"/>
              <w:rPr>
                <w:sz w:val="16"/>
              </w:rPr>
            </w:pPr>
            <w:r>
              <w:rPr>
                <w:spacing w:val="-2"/>
                <w:sz w:val="16"/>
              </w:rPr>
              <w:t>-107.102,35</w:t>
            </w:r>
          </w:p>
        </w:tc>
        <w:tc>
          <w:tcPr>
            <w:tcW w:w="147" w:type="dxa"/>
          </w:tcPr>
          <w:p>
            <w:pPr>
              <w:pStyle w:val="TableParagraph"/>
              <w:rPr>
                <w:sz w:val="16"/>
              </w:rPr>
            </w:pPr>
          </w:p>
        </w:tc>
        <w:tc>
          <w:tcPr>
            <w:tcW w:w="1343" w:type="dxa"/>
          </w:tcPr>
          <w:p>
            <w:pPr>
              <w:pStyle w:val="TableParagraph"/>
              <w:spacing w:before="18"/>
              <w:ind w:right="81"/>
              <w:jc w:val="right"/>
              <w:rPr>
                <w:sz w:val="16"/>
              </w:rPr>
            </w:pPr>
            <w:r>
              <w:rPr>
                <w:spacing w:val="-2"/>
                <w:sz w:val="16"/>
              </w:rPr>
              <w:t>-38.416.866,00</w:t>
            </w:r>
          </w:p>
        </w:tc>
        <w:tc>
          <w:tcPr>
            <w:tcW w:w="1207" w:type="dxa"/>
          </w:tcPr>
          <w:p>
            <w:pPr>
              <w:pStyle w:val="TableParagraph"/>
              <w:spacing w:before="18"/>
              <w:ind w:right="65"/>
              <w:jc w:val="right"/>
              <w:rPr>
                <w:sz w:val="16"/>
              </w:rPr>
            </w:pPr>
            <w:r>
              <w:rPr>
                <w:spacing w:val="-2"/>
                <w:sz w:val="16"/>
              </w:rPr>
              <w:t>-30.187.301,00</w:t>
            </w:r>
          </w:p>
        </w:tc>
      </w:tr>
      <w:tr>
        <w:trPr>
          <w:trHeight w:val="201" w:hRule="atLeast"/>
        </w:trPr>
        <w:tc>
          <w:tcPr>
            <w:tcW w:w="2700" w:type="dxa"/>
          </w:tcPr>
          <w:p>
            <w:pPr>
              <w:pStyle w:val="TableParagraph"/>
              <w:spacing w:line="164" w:lineRule="exact" w:before="18"/>
              <w:ind w:right="18"/>
              <w:jc w:val="center"/>
              <w:rPr>
                <w:b/>
                <w:sz w:val="16"/>
              </w:rPr>
            </w:pPr>
            <w:r>
              <w:rPr>
                <w:b/>
                <w:spacing w:val="-2"/>
                <w:sz w:val="16"/>
              </w:rPr>
              <w:t>Total</w:t>
            </w:r>
          </w:p>
        </w:tc>
        <w:tc>
          <w:tcPr>
            <w:tcW w:w="1266" w:type="dxa"/>
          </w:tcPr>
          <w:p>
            <w:pPr>
              <w:pStyle w:val="TableParagraph"/>
              <w:spacing w:line="164" w:lineRule="exact" w:before="18"/>
              <w:ind w:right="186"/>
              <w:jc w:val="right"/>
              <w:rPr>
                <w:b/>
                <w:sz w:val="16"/>
              </w:rPr>
            </w:pPr>
            <w:r>
              <w:rPr>
                <w:b/>
                <w:spacing w:val="-2"/>
                <w:sz w:val="16"/>
              </w:rPr>
              <w:t>-166.002,59</w:t>
            </w:r>
          </w:p>
        </w:tc>
        <w:tc>
          <w:tcPr>
            <w:tcW w:w="1030" w:type="dxa"/>
          </w:tcPr>
          <w:p>
            <w:pPr>
              <w:pStyle w:val="TableParagraph"/>
              <w:spacing w:line="164" w:lineRule="exact" w:before="18"/>
              <w:ind w:right="68"/>
              <w:jc w:val="right"/>
              <w:rPr>
                <w:b/>
                <w:sz w:val="16"/>
              </w:rPr>
            </w:pPr>
            <w:r>
              <w:rPr>
                <w:b/>
                <w:spacing w:val="-2"/>
                <w:sz w:val="16"/>
              </w:rPr>
              <w:t>-732.009,77</w:t>
            </w:r>
          </w:p>
        </w:tc>
        <w:tc>
          <w:tcPr>
            <w:tcW w:w="147" w:type="dxa"/>
          </w:tcPr>
          <w:p>
            <w:pPr>
              <w:pStyle w:val="TableParagraph"/>
              <w:rPr>
                <w:sz w:val="14"/>
              </w:rPr>
            </w:pPr>
          </w:p>
        </w:tc>
        <w:tc>
          <w:tcPr>
            <w:tcW w:w="1343" w:type="dxa"/>
          </w:tcPr>
          <w:p>
            <w:pPr>
              <w:pStyle w:val="TableParagraph"/>
              <w:spacing w:line="164" w:lineRule="exact" w:before="18"/>
              <w:ind w:right="82"/>
              <w:jc w:val="right"/>
              <w:rPr>
                <w:b/>
                <w:sz w:val="16"/>
              </w:rPr>
            </w:pPr>
            <w:r>
              <w:rPr>
                <w:b/>
                <w:spacing w:val="-2"/>
                <w:sz w:val="16"/>
              </w:rPr>
              <w:t>-459.707.065,00</w:t>
            </w:r>
          </w:p>
        </w:tc>
        <w:tc>
          <w:tcPr>
            <w:tcW w:w="1207" w:type="dxa"/>
          </w:tcPr>
          <w:p>
            <w:pPr>
              <w:pStyle w:val="TableParagraph"/>
              <w:spacing w:line="164" w:lineRule="exact" w:before="18"/>
              <w:ind w:right="66"/>
              <w:jc w:val="right"/>
              <w:rPr>
                <w:b/>
                <w:sz w:val="16"/>
              </w:rPr>
            </w:pPr>
            <w:r>
              <w:rPr>
                <w:b/>
                <w:spacing w:val="-2"/>
                <w:sz w:val="16"/>
              </w:rPr>
              <w:t>-358.646.576,00</w:t>
            </w:r>
          </w:p>
        </w:tc>
      </w:tr>
    </w:tbl>
    <w:p>
      <w:pPr>
        <w:pStyle w:val="BodyText"/>
        <w:spacing w:before="141"/>
        <w:rPr>
          <w:b/>
          <w:sz w:val="16"/>
        </w:rPr>
      </w:pPr>
    </w:p>
    <w:p>
      <w:pPr>
        <w:tabs>
          <w:tab w:pos="4895" w:val="left" w:leader="none"/>
          <w:tab w:pos="6651" w:val="left" w:leader="none"/>
        </w:tabs>
        <w:spacing w:before="0" w:after="48"/>
        <w:ind w:left="4355" w:right="0" w:firstLine="0"/>
        <w:jc w:val="left"/>
        <w:rPr>
          <w:b/>
          <w:sz w:val="16"/>
        </w:rPr>
      </w:pPr>
      <w:r>
        <w:rPr>
          <w:b/>
          <w:sz w:val="16"/>
          <w:u w:val="single"/>
        </w:rPr>
        <w:tab/>
        <w:t>Ventas</w:t>
      </w:r>
      <w:r>
        <w:rPr>
          <w:b/>
          <w:spacing w:val="-6"/>
          <w:sz w:val="16"/>
          <w:u w:val="single"/>
        </w:rPr>
        <w:t> </w:t>
      </w:r>
      <w:r>
        <w:rPr>
          <w:b/>
          <w:sz w:val="16"/>
          <w:u w:val="single"/>
        </w:rPr>
        <w:t>y</w:t>
      </w:r>
      <w:r>
        <w:rPr>
          <w:b/>
          <w:spacing w:val="-6"/>
          <w:sz w:val="16"/>
          <w:u w:val="single"/>
        </w:rPr>
        <w:t> </w:t>
      </w:r>
      <w:r>
        <w:rPr>
          <w:b/>
          <w:spacing w:val="-2"/>
          <w:sz w:val="16"/>
          <w:u w:val="single"/>
        </w:rPr>
        <w:t>servicios</w:t>
      </w:r>
      <w:r>
        <w:rPr>
          <w:b/>
          <w:sz w:val="16"/>
          <w:u w:val="single"/>
        </w:rPr>
        <w:tab/>
      </w:r>
    </w:p>
    <w:tbl>
      <w:tblPr>
        <w:tblW w:w="0" w:type="auto"/>
        <w:jc w:val="left"/>
        <w:tblInd w:w="1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16"/>
        <w:gridCol w:w="703"/>
        <w:gridCol w:w="554"/>
        <w:gridCol w:w="1040"/>
      </w:tblGrid>
      <w:tr>
        <w:trPr>
          <w:trHeight w:val="199" w:hRule="atLeast"/>
        </w:trPr>
        <w:tc>
          <w:tcPr>
            <w:tcW w:w="2716" w:type="dxa"/>
          </w:tcPr>
          <w:p>
            <w:pPr>
              <w:pStyle w:val="TableParagraph"/>
              <w:spacing w:line="177" w:lineRule="exact"/>
              <w:ind w:left="50"/>
              <w:rPr>
                <w:b/>
                <w:sz w:val="16"/>
              </w:rPr>
            </w:pPr>
            <w:r>
              <w:rPr>
                <w:b/>
                <w:sz w:val="16"/>
              </w:rPr>
              <w:t>Saldos</w:t>
            </w:r>
            <w:r>
              <w:rPr>
                <w:b/>
                <w:spacing w:val="-6"/>
                <w:sz w:val="16"/>
              </w:rPr>
              <w:t> </w:t>
            </w:r>
            <w:r>
              <w:rPr>
                <w:b/>
                <w:spacing w:val="-2"/>
                <w:sz w:val="16"/>
              </w:rPr>
              <w:t>Deudores</w:t>
            </w:r>
          </w:p>
        </w:tc>
        <w:tc>
          <w:tcPr>
            <w:tcW w:w="703" w:type="dxa"/>
            <w:tcBorders>
              <w:bottom w:val="single" w:sz="8" w:space="0" w:color="000000"/>
            </w:tcBorders>
          </w:tcPr>
          <w:p>
            <w:pPr>
              <w:pStyle w:val="TableParagraph"/>
              <w:spacing w:line="177" w:lineRule="exact"/>
              <w:ind w:left="370"/>
              <w:rPr>
                <w:b/>
                <w:sz w:val="16"/>
              </w:rPr>
            </w:pPr>
            <w:r>
              <w:rPr>
                <w:b/>
                <w:spacing w:val="-4"/>
                <w:sz w:val="16"/>
              </w:rPr>
              <w:t>2025</w:t>
            </w:r>
          </w:p>
        </w:tc>
        <w:tc>
          <w:tcPr>
            <w:tcW w:w="554" w:type="dxa"/>
            <w:tcBorders>
              <w:bottom w:val="single" w:sz="8" w:space="0" w:color="000000"/>
            </w:tcBorders>
          </w:tcPr>
          <w:p>
            <w:pPr>
              <w:pStyle w:val="TableParagraph"/>
              <w:rPr>
                <w:sz w:val="12"/>
              </w:rPr>
            </w:pPr>
          </w:p>
        </w:tc>
        <w:tc>
          <w:tcPr>
            <w:tcW w:w="1040" w:type="dxa"/>
            <w:tcBorders>
              <w:bottom w:val="single" w:sz="8" w:space="0" w:color="000000"/>
            </w:tcBorders>
          </w:tcPr>
          <w:p>
            <w:pPr>
              <w:pStyle w:val="TableParagraph"/>
              <w:spacing w:line="177" w:lineRule="exact"/>
              <w:ind w:left="261"/>
              <w:rPr>
                <w:b/>
                <w:sz w:val="16"/>
              </w:rPr>
            </w:pPr>
            <w:r>
              <w:rPr>
                <w:b/>
                <w:spacing w:val="-4"/>
                <w:sz w:val="16"/>
              </w:rPr>
              <w:t>2024</w:t>
            </w:r>
          </w:p>
        </w:tc>
      </w:tr>
      <w:tr>
        <w:trPr>
          <w:trHeight w:val="227" w:hRule="atLeast"/>
        </w:trPr>
        <w:tc>
          <w:tcPr>
            <w:tcW w:w="2716" w:type="dxa"/>
          </w:tcPr>
          <w:p>
            <w:pPr>
              <w:pStyle w:val="TableParagraph"/>
              <w:spacing w:before="20"/>
              <w:ind w:left="50"/>
              <w:rPr>
                <w:sz w:val="16"/>
              </w:rPr>
            </w:pPr>
            <w:r>
              <w:rPr>
                <w:sz w:val="16"/>
              </w:rPr>
              <w:t>Cartagena</w:t>
            </w:r>
            <w:r>
              <w:rPr>
                <w:spacing w:val="-6"/>
                <w:sz w:val="16"/>
              </w:rPr>
              <w:t> </w:t>
            </w:r>
            <w:r>
              <w:rPr>
                <w:sz w:val="16"/>
              </w:rPr>
              <w:t>Alta</w:t>
            </w:r>
            <w:r>
              <w:rPr>
                <w:spacing w:val="-5"/>
                <w:sz w:val="16"/>
              </w:rPr>
              <w:t> </w:t>
            </w:r>
            <w:r>
              <w:rPr>
                <w:sz w:val="16"/>
              </w:rPr>
              <w:t>Velocidad,</w:t>
            </w:r>
            <w:r>
              <w:rPr>
                <w:spacing w:val="-7"/>
                <w:sz w:val="16"/>
              </w:rPr>
              <w:t> </w:t>
            </w:r>
            <w:r>
              <w:rPr>
                <w:spacing w:val="-4"/>
                <w:sz w:val="16"/>
              </w:rPr>
              <w:t>S.A.</w:t>
            </w:r>
          </w:p>
        </w:tc>
        <w:tc>
          <w:tcPr>
            <w:tcW w:w="703" w:type="dxa"/>
            <w:tcBorders>
              <w:top w:val="single" w:sz="8" w:space="0" w:color="000000"/>
              <w:bottom w:val="single" w:sz="8" w:space="0" w:color="000000"/>
            </w:tcBorders>
          </w:tcPr>
          <w:p>
            <w:pPr>
              <w:pStyle w:val="TableParagraph"/>
              <w:rPr>
                <w:sz w:val="16"/>
              </w:rPr>
            </w:pPr>
          </w:p>
        </w:tc>
        <w:tc>
          <w:tcPr>
            <w:tcW w:w="554" w:type="dxa"/>
            <w:tcBorders>
              <w:top w:val="single" w:sz="8" w:space="0" w:color="000000"/>
              <w:bottom w:val="single" w:sz="8" w:space="0" w:color="000000"/>
            </w:tcBorders>
          </w:tcPr>
          <w:p>
            <w:pPr>
              <w:pStyle w:val="TableParagraph"/>
              <w:spacing w:before="20"/>
              <w:ind w:left="9"/>
              <w:rPr>
                <w:sz w:val="16"/>
              </w:rPr>
            </w:pPr>
            <w:r>
              <w:rPr>
                <w:spacing w:val="-4"/>
                <w:sz w:val="16"/>
              </w:rPr>
              <w:t>0,00</w:t>
            </w:r>
          </w:p>
        </w:tc>
        <w:tc>
          <w:tcPr>
            <w:tcW w:w="1040" w:type="dxa"/>
            <w:tcBorders>
              <w:top w:val="single" w:sz="8" w:space="0" w:color="000000"/>
              <w:bottom w:val="single" w:sz="8" w:space="0" w:color="000000"/>
            </w:tcBorders>
          </w:tcPr>
          <w:p>
            <w:pPr>
              <w:pStyle w:val="TableParagraph"/>
              <w:spacing w:before="20"/>
              <w:ind w:right="68"/>
              <w:jc w:val="right"/>
              <w:rPr>
                <w:sz w:val="16"/>
              </w:rPr>
            </w:pPr>
            <w:r>
              <w:rPr>
                <w:spacing w:val="-2"/>
                <w:sz w:val="16"/>
              </w:rPr>
              <w:t>6.613,24</w:t>
            </w:r>
          </w:p>
        </w:tc>
      </w:tr>
      <w:tr>
        <w:trPr>
          <w:trHeight w:val="204" w:hRule="atLeast"/>
        </w:trPr>
        <w:tc>
          <w:tcPr>
            <w:tcW w:w="2716" w:type="dxa"/>
          </w:tcPr>
          <w:p>
            <w:pPr>
              <w:pStyle w:val="TableParagraph"/>
              <w:spacing w:line="164" w:lineRule="exact" w:before="21"/>
              <w:ind w:right="19"/>
              <w:jc w:val="center"/>
              <w:rPr>
                <w:b/>
                <w:sz w:val="16"/>
              </w:rPr>
            </w:pPr>
            <w:r>
              <w:rPr>
                <w:b/>
                <w:spacing w:val="-2"/>
                <w:sz w:val="16"/>
              </w:rPr>
              <w:t>Total</w:t>
            </w:r>
          </w:p>
        </w:tc>
        <w:tc>
          <w:tcPr>
            <w:tcW w:w="703" w:type="dxa"/>
            <w:tcBorders>
              <w:top w:val="single" w:sz="8" w:space="0" w:color="000000"/>
            </w:tcBorders>
          </w:tcPr>
          <w:p>
            <w:pPr>
              <w:pStyle w:val="TableParagraph"/>
              <w:rPr>
                <w:sz w:val="14"/>
              </w:rPr>
            </w:pPr>
          </w:p>
        </w:tc>
        <w:tc>
          <w:tcPr>
            <w:tcW w:w="554" w:type="dxa"/>
            <w:tcBorders>
              <w:top w:val="single" w:sz="8" w:space="0" w:color="000000"/>
            </w:tcBorders>
          </w:tcPr>
          <w:p>
            <w:pPr>
              <w:pStyle w:val="TableParagraph"/>
              <w:spacing w:line="164" w:lineRule="exact" w:before="21"/>
              <w:ind w:left="9"/>
              <w:rPr>
                <w:b/>
                <w:sz w:val="16"/>
              </w:rPr>
            </w:pPr>
            <w:r>
              <w:rPr>
                <w:b/>
                <w:spacing w:val="-4"/>
                <w:sz w:val="16"/>
              </w:rPr>
              <w:t>0,00</w:t>
            </w:r>
          </w:p>
        </w:tc>
        <w:tc>
          <w:tcPr>
            <w:tcW w:w="1040" w:type="dxa"/>
            <w:tcBorders>
              <w:top w:val="single" w:sz="8" w:space="0" w:color="000000"/>
            </w:tcBorders>
          </w:tcPr>
          <w:p>
            <w:pPr>
              <w:pStyle w:val="TableParagraph"/>
              <w:spacing w:line="164" w:lineRule="exact" w:before="21"/>
              <w:ind w:right="68"/>
              <w:jc w:val="right"/>
              <w:rPr>
                <w:b/>
                <w:sz w:val="16"/>
              </w:rPr>
            </w:pPr>
            <w:r>
              <w:rPr>
                <w:b/>
                <w:spacing w:val="-2"/>
                <w:sz w:val="16"/>
              </w:rPr>
              <w:t>6.613,24</w:t>
            </w:r>
          </w:p>
        </w:tc>
      </w:tr>
    </w:tbl>
    <w:p>
      <w:pPr>
        <w:pStyle w:val="BodyText"/>
        <w:spacing w:before="97"/>
        <w:rPr>
          <w:b/>
          <w:sz w:val="16"/>
        </w:rPr>
      </w:pPr>
    </w:p>
    <w:p>
      <w:pPr>
        <w:pStyle w:val="BodyText"/>
        <w:spacing w:line="244" w:lineRule="auto"/>
        <w:ind w:left="993" w:right="841"/>
        <w:jc w:val="both"/>
      </w:pPr>
      <w:r>
        <w:rPr/>
        <w:t>A</w:t>
      </w:r>
      <w:r>
        <w:rPr>
          <w:spacing w:val="-4"/>
        </w:rPr>
        <w:t> </w:t>
      </w:r>
      <w:r>
        <w:rPr/>
        <w:t>31</w:t>
      </w:r>
      <w:r>
        <w:rPr>
          <w:spacing w:val="-4"/>
        </w:rPr>
        <w:t> </w:t>
      </w:r>
      <w:r>
        <w:rPr/>
        <w:t>de</w:t>
      </w:r>
      <w:r>
        <w:rPr>
          <w:spacing w:val="-4"/>
        </w:rPr>
        <w:t> </w:t>
      </w:r>
      <w:r>
        <w:rPr/>
        <w:t>diciembre</w:t>
      </w:r>
      <w:r>
        <w:rPr>
          <w:spacing w:val="-4"/>
        </w:rPr>
        <w:t> </w:t>
      </w:r>
      <w:r>
        <w:rPr/>
        <w:t>de</w:t>
      </w:r>
      <w:r>
        <w:rPr>
          <w:spacing w:val="-4"/>
        </w:rPr>
        <w:t> </w:t>
      </w:r>
      <w:r>
        <w:rPr/>
        <w:t>2025,</w:t>
      </w:r>
      <w:r>
        <w:rPr>
          <w:spacing w:val="-4"/>
        </w:rPr>
        <w:t> </w:t>
      </w:r>
      <w:r>
        <w:rPr/>
        <w:t>no</w:t>
      </w:r>
      <w:r>
        <w:rPr>
          <w:spacing w:val="-4"/>
        </w:rPr>
        <w:t> </w:t>
      </w:r>
      <w:r>
        <w:rPr/>
        <w:t>existen</w:t>
      </w:r>
      <w:r>
        <w:rPr>
          <w:spacing w:val="-4"/>
        </w:rPr>
        <w:t> </w:t>
      </w:r>
      <w:r>
        <w:rPr/>
        <w:t>saldos</w:t>
      </w:r>
      <w:r>
        <w:rPr>
          <w:spacing w:val="-4"/>
        </w:rPr>
        <w:t> </w:t>
      </w:r>
      <w:r>
        <w:rPr/>
        <w:t>deudores</w:t>
      </w:r>
      <w:r>
        <w:rPr>
          <w:spacing w:val="-4"/>
        </w:rPr>
        <w:t> </w:t>
      </w:r>
      <w:r>
        <w:rPr/>
        <w:t>con</w:t>
      </w:r>
      <w:r>
        <w:rPr>
          <w:spacing w:val="-4"/>
        </w:rPr>
        <w:t> </w:t>
      </w:r>
      <w:r>
        <w:rPr/>
        <w:t>las</w:t>
      </w:r>
      <w:r>
        <w:rPr>
          <w:spacing w:val="-4"/>
        </w:rPr>
        <w:t> </w:t>
      </w:r>
      <w:r>
        <w:rPr/>
        <w:t>empresas</w:t>
      </w:r>
      <w:r>
        <w:rPr>
          <w:spacing w:val="-4"/>
        </w:rPr>
        <w:t> </w:t>
      </w:r>
      <w:r>
        <w:rPr/>
        <w:t>vinculadas</w:t>
      </w:r>
      <w:r>
        <w:rPr>
          <w:spacing w:val="-4"/>
        </w:rPr>
        <w:t> </w:t>
      </w:r>
      <w:r>
        <w:rPr/>
        <w:t>de</w:t>
      </w:r>
      <w:r>
        <w:rPr>
          <w:spacing w:val="-4"/>
        </w:rPr>
        <w:t> </w:t>
      </w:r>
      <w:r>
        <w:rPr/>
        <w:t>la</w:t>
      </w:r>
      <w:r>
        <w:rPr>
          <w:spacing w:val="-2"/>
        </w:rPr>
        <w:t> </w:t>
      </w:r>
      <w:r>
        <w:rPr/>
        <w:t>sociedad.</w:t>
      </w:r>
      <w:r>
        <w:rPr>
          <w:spacing w:val="-4"/>
        </w:rPr>
        <w:t> </w:t>
      </w:r>
      <w:r>
        <w:rPr/>
        <w:t>A 31 de diciembre de 2024 el saldo por prestación de servicios a Cartagena Alta Velocidad ascendió a 6.613,24 euros.</w:t>
      </w:r>
    </w:p>
    <w:p>
      <w:pPr>
        <w:pStyle w:val="BodyText"/>
        <w:spacing w:after="0" w:line="244" w:lineRule="auto"/>
        <w:jc w:val="both"/>
        <w:sectPr>
          <w:pgSz w:w="11910" w:h="16840"/>
          <w:pgMar w:header="694" w:footer="690" w:top="1920" w:bottom="880" w:left="708" w:right="425"/>
        </w:sectPr>
      </w:pPr>
    </w:p>
    <w:p>
      <w:pPr>
        <w:pStyle w:val="BodyText"/>
        <w:spacing w:before="187"/>
        <w:ind w:left="995"/>
        <w:jc w:val="both"/>
      </w:pPr>
      <w:r>
        <w:rPr>
          <w:spacing w:val="-2"/>
        </w:rPr>
        <w:t>El</w:t>
      </w:r>
      <w:r>
        <w:rPr>
          <w:spacing w:val="-10"/>
        </w:rPr>
        <w:t> </w:t>
      </w:r>
      <w:r>
        <w:rPr>
          <w:spacing w:val="-2"/>
        </w:rPr>
        <w:t>balance</w:t>
      </w:r>
      <w:r>
        <w:rPr>
          <w:spacing w:val="-10"/>
        </w:rPr>
        <w:t> </w:t>
      </w:r>
      <w:r>
        <w:rPr>
          <w:spacing w:val="-2"/>
        </w:rPr>
        <w:t>de</w:t>
      </w:r>
      <w:r>
        <w:rPr>
          <w:spacing w:val="-9"/>
        </w:rPr>
        <w:t> </w:t>
      </w:r>
      <w:r>
        <w:rPr>
          <w:spacing w:val="-2"/>
        </w:rPr>
        <w:t>la</w:t>
      </w:r>
      <w:r>
        <w:rPr>
          <w:spacing w:val="-10"/>
        </w:rPr>
        <w:t> </w:t>
      </w:r>
      <w:r>
        <w:rPr>
          <w:spacing w:val="-2"/>
        </w:rPr>
        <w:t>Sociedad</w:t>
      </w:r>
      <w:r>
        <w:rPr>
          <w:spacing w:val="-8"/>
        </w:rPr>
        <w:t> </w:t>
      </w:r>
      <w:r>
        <w:rPr>
          <w:spacing w:val="-2"/>
        </w:rPr>
        <w:t>se</w:t>
      </w:r>
      <w:r>
        <w:rPr>
          <w:spacing w:val="-9"/>
        </w:rPr>
        <w:t> </w:t>
      </w:r>
      <w:r>
        <w:rPr>
          <w:spacing w:val="-2"/>
        </w:rPr>
        <w:t>registran</w:t>
      </w:r>
      <w:r>
        <w:rPr>
          <w:spacing w:val="-10"/>
        </w:rPr>
        <w:t> </w:t>
      </w:r>
      <w:r>
        <w:rPr>
          <w:spacing w:val="-2"/>
        </w:rPr>
        <w:t>préstamos</w:t>
      </w:r>
      <w:r>
        <w:rPr>
          <w:spacing w:val="-10"/>
        </w:rPr>
        <w:t> </w:t>
      </w:r>
      <w:r>
        <w:rPr>
          <w:spacing w:val="-2"/>
        </w:rPr>
        <w:t>participativos,</w:t>
      </w:r>
      <w:r>
        <w:rPr>
          <w:spacing w:val="-8"/>
        </w:rPr>
        <w:t> </w:t>
      </w:r>
      <w:r>
        <w:rPr>
          <w:spacing w:val="-2"/>
        </w:rPr>
        <w:t>con</w:t>
      </w:r>
      <w:r>
        <w:rPr>
          <w:spacing w:val="-8"/>
        </w:rPr>
        <w:t> </w:t>
      </w:r>
      <w:r>
        <w:rPr>
          <w:spacing w:val="-2"/>
        </w:rPr>
        <w:t>el</w:t>
      </w:r>
      <w:r>
        <w:rPr>
          <w:spacing w:val="-10"/>
        </w:rPr>
        <w:t> </w:t>
      </w:r>
      <w:r>
        <w:rPr>
          <w:spacing w:val="-2"/>
        </w:rPr>
        <w:t>siguiente</w:t>
      </w:r>
      <w:r>
        <w:rPr>
          <w:spacing w:val="-10"/>
        </w:rPr>
        <w:t> </w:t>
      </w:r>
      <w:r>
        <w:rPr>
          <w:spacing w:val="-2"/>
        </w:rPr>
        <w:t>detalle:</w:t>
      </w:r>
    </w:p>
    <w:p>
      <w:pPr>
        <w:pStyle w:val="BodyText"/>
        <w:spacing w:before="30" w:after="1"/>
        <w:rPr>
          <w:sz w:val="20"/>
        </w:rPr>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1"/>
        <w:gridCol w:w="930"/>
        <w:gridCol w:w="1092"/>
        <w:gridCol w:w="1072"/>
        <w:gridCol w:w="1055"/>
        <w:gridCol w:w="1181"/>
        <w:gridCol w:w="1085"/>
        <w:gridCol w:w="871"/>
        <w:gridCol w:w="992"/>
        <w:gridCol w:w="1102"/>
      </w:tblGrid>
      <w:tr>
        <w:trPr>
          <w:trHeight w:val="322" w:hRule="atLeast"/>
        </w:trPr>
        <w:tc>
          <w:tcPr>
            <w:tcW w:w="1151" w:type="dxa"/>
          </w:tcPr>
          <w:p>
            <w:pPr>
              <w:pStyle w:val="TableParagraph"/>
              <w:rPr>
                <w:sz w:val="20"/>
              </w:rPr>
            </w:pPr>
          </w:p>
        </w:tc>
        <w:tc>
          <w:tcPr>
            <w:tcW w:w="930" w:type="dxa"/>
          </w:tcPr>
          <w:p>
            <w:pPr>
              <w:pStyle w:val="TableParagraph"/>
              <w:spacing w:line="160" w:lineRule="atLeast"/>
              <w:ind w:left="325" w:right="167" w:hanging="144"/>
              <w:rPr>
                <w:b/>
                <w:sz w:val="14"/>
              </w:rPr>
            </w:pPr>
            <w:r>
              <w:rPr>
                <w:b/>
                <w:spacing w:val="-2"/>
                <w:sz w:val="14"/>
              </w:rPr>
              <w:t>Préstamo</w:t>
            </w:r>
            <w:r>
              <w:rPr>
                <w:b/>
                <w:spacing w:val="40"/>
                <w:sz w:val="14"/>
              </w:rPr>
              <w:t> </w:t>
            </w:r>
            <w:r>
              <w:rPr>
                <w:b/>
                <w:spacing w:val="-4"/>
                <w:sz w:val="14"/>
              </w:rPr>
              <w:t>2014</w:t>
            </w:r>
          </w:p>
        </w:tc>
        <w:tc>
          <w:tcPr>
            <w:tcW w:w="1092" w:type="dxa"/>
          </w:tcPr>
          <w:p>
            <w:pPr>
              <w:pStyle w:val="TableParagraph"/>
              <w:spacing w:line="160" w:lineRule="atLeast"/>
              <w:ind w:left="406" w:right="26" w:hanging="146"/>
              <w:rPr>
                <w:b/>
                <w:sz w:val="14"/>
              </w:rPr>
            </w:pPr>
            <w:r>
              <w:rPr>
                <w:b/>
                <w:spacing w:val="-2"/>
                <w:sz w:val="14"/>
              </w:rPr>
              <w:t>Préstamo</w:t>
            </w:r>
            <w:r>
              <w:rPr>
                <w:b/>
                <w:spacing w:val="40"/>
                <w:sz w:val="14"/>
              </w:rPr>
              <w:t> </w:t>
            </w:r>
            <w:r>
              <w:rPr>
                <w:b/>
                <w:spacing w:val="-4"/>
                <w:sz w:val="14"/>
              </w:rPr>
              <w:t>2019</w:t>
            </w:r>
          </w:p>
        </w:tc>
        <w:tc>
          <w:tcPr>
            <w:tcW w:w="1072" w:type="dxa"/>
          </w:tcPr>
          <w:p>
            <w:pPr>
              <w:pStyle w:val="TableParagraph"/>
              <w:spacing w:line="160" w:lineRule="atLeast"/>
              <w:ind w:left="413" w:right="239" w:hanging="162"/>
              <w:rPr>
                <w:b/>
                <w:sz w:val="14"/>
              </w:rPr>
            </w:pPr>
            <w:r>
              <w:rPr>
                <w:b/>
                <w:spacing w:val="-2"/>
                <w:sz w:val="14"/>
              </w:rPr>
              <w:t>Préstamo</w:t>
            </w:r>
            <w:r>
              <w:rPr>
                <w:b/>
                <w:spacing w:val="40"/>
                <w:sz w:val="14"/>
              </w:rPr>
              <w:t> </w:t>
            </w:r>
            <w:r>
              <w:rPr>
                <w:b/>
                <w:spacing w:val="-4"/>
                <w:sz w:val="14"/>
              </w:rPr>
              <w:t>2020</w:t>
            </w:r>
          </w:p>
        </w:tc>
        <w:tc>
          <w:tcPr>
            <w:tcW w:w="1055" w:type="dxa"/>
          </w:tcPr>
          <w:p>
            <w:pPr>
              <w:pStyle w:val="TableParagraph"/>
              <w:spacing w:line="160" w:lineRule="atLeast"/>
              <w:ind w:left="387" w:right="8" w:hanging="146"/>
              <w:rPr>
                <w:b/>
                <w:sz w:val="14"/>
              </w:rPr>
            </w:pPr>
            <w:r>
              <w:rPr>
                <w:b/>
                <w:spacing w:val="-2"/>
                <w:sz w:val="14"/>
              </w:rPr>
              <w:t>Préstamo</w:t>
            </w:r>
            <w:r>
              <w:rPr>
                <w:b/>
                <w:spacing w:val="40"/>
                <w:sz w:val="14"/>
              </w:rPr>
              <w:t> </w:t>
            </w:r>
            <w:r>
              <w:rPr>
                <w:b/>
                <w:spacing w:val="-4"/>
                <w:sz w:val="14"/>
              </w:rPr>
              <w:t>2023</w:t>
            </w:r>
          </w:p>
        </w:tc>
        <w:tc>
          <w:tcPr>
            <w:tcW w:w="1181" w:type="dxa"/>
          </w:tcPr>
          <w:p>
            <w:pPr>
              <w:pStyle w:val="TableParagraph"/>
              <w:spacing w:line="160" w:lineRule="atLeast"/>
              <w:ind w:left="449" w:right="294" w:hanging="144"/>
              <w:rPr>
                <w:b/>
                <w:sz w:val="14"/>
              </w:rPr>
            </w:pPr>
            <w:r>
              <w:rPr>
                <w:b/>
                <w:spacing w:val="-2"/>
                <w:sz w:val="14"/>
              </w:rPr>
              <w:t>Préstamo</w:t>
            </w:r>
            <w:r>
              <w:rPr>
                <w:b/>
                <w:spacing w:val="40"/>
                <w:sz w:val="14"/>
              </w:rPr>
              <w:t> </w:t>
            </w:r>
            <w:r>
              <w:rPr>
                <w:b/>
                <w:spacing w:val="-4"/>
                <w:sz w:val="14"/>
              </w:rPr>
              <w:t>2024</w:t>
            </w:r>
          </w:p>
        </w:tc>
        <w:tc>
          <w:tcPr>
            <w:tcW w:w="1085" w:type="dxa"/>
          </w:tcPr>
          <w:p>
            <w:pPr>
              <w:pStyle w:val="TableParagraph"/>
              <w:spacing w:line="160" w:lineRule="atLeast"/>
              <w:ind w:left="401" w:right="247" w:hanging="144"/>
              <w:rPr>
                <w:b/>
                <w:sz w:val="14"/>
              </w:rPr>
            </w:pPr>
            <w:r>
              <w:rPr>
                <w:b/>
                <w:spacing w:val="-2"/>
                <w:sz w:val="14"/>
              </w:rPr>
              <w:t>Préstamo</w:t>
            </w:r>
            <w:r>
              <w:rPr>
                <w:b/>
                <w:spacing w:val="40"/>
                <w:sz w:val="14"/>
              </w:rPr>
              <w:t> </w:t>
            </w:r>
            <w:r>
              <w:rPr>
                <w:b/>
                <w:spacing w:val="-4"/>
                <w:sz w:val="14"/>
              </w:rPr>
              <w:t>2025</w:t>
            </w:r>
          </w:p>
        </w:tc>
        <w:tc>
          <w:tcPr>
            <w:tcW w:w="871" w:type="dxa"/>
          </w:tcPr>
          <w:p>
            <w:pPr>
              <w:pStyle w:val="TableParagraph"/>
              <w:spacing w:line="160" w:lineRule="atLeast"/>
              <w:ind w:left="296" w:hanging="130"/>
              <w:rPr>
                <w:b/>
                <w:sz w:val="14"/>
              </w:rPr>
            </w:pPr>
            <w:r>
              <w:rPr>
                <w:b/>
                <w:spacing w:val="-2"/>
                <w:sz w:val="14"/>
              </w:rPr>
              <w:t>Intereses</w:t>
            </w:r>
            <w:r>
              <w:rPr>
                <w:b/>
                <w:spacing w:val="40"/>
                <w:sz w:val="14"/>
              </w:rPr>
              <w:t> </w:t>
            </w:r>
            <w:r>
              <w:rPr>
                <w:b/>
                <w:spacing w:val="-4"/>
                <w:sz w:val="14"/>
              </w:rPr>
              <w:t>2024</w:t>
            </w:r>
          </w:p>
        </w:tc>
        <w:tc>
          <w:tcPr>
            <w:tcW w:w="992" w:type="dxa"/>
          </w:tcPr>
          <w:p>
            <w:pPr>
              <w:pStyle w:val="TableParagraph"/>
              <w:spacing w:line="160" w:lineRule="atLeast"/>
              <w:ind w:left="355" w:right="216" w:hanging="129"/>
              <w:rPr>
                <w:b/>
                <w:sz w:val="14"/>
              </w:rPr>
            </w:pPr>
            <w:r>
              <w:rPr>
                <w:b/>
                <w:spacing w:val="-2"/>
                <w:sz w:val="14"/>
              </w:rPr>
              <w:t>Intereses</w:t>
            </w:r>
            <w:r>
              <w:rPr>
                <w:b/>
                <w:spacing w:val="40"/>
                <w:sz w:val="14"/>
              </w:rPr>
              <w:t> </w:t>
            </w:r>
            <w:r>
              <w:rPr>
                <w:b/>
                <w:spacing w:val="-4"/>
                <w:sz w:val="14"/>
              </w:rPr>
              <w:t>2025</w:t>
            </w:r>
          </w:p>
        </w:tc>
        <w:tc>
          <w:tcPr>
            <w:tcW w:w="1102" w:type="dxa"/>
          </w:tcPr>
          <w:p>
            <w:pPr>
              <w:pStyle w:val="TableParagraph"/>
              <w:spacing w:before="81"/>
              <w:ind w:left="10"/>
              <w:jc w:val="center"/>
              <w:rPr>
                <w:b/>
                <w:sz w:val="14"/>
              </w:rPr>
            </w:pPr>
            <w:r>
              <w:rPr>
                <w:b/>
                <w:spacing w:val="-2"/>
                <w:sz w:val="14"/>
              </w:rPr>
              <w:t>Total</w:t>
            </w:r>
          </w:p>
        </w:tc>
      </w:tr>
      <w:tr>
        <w:trPr>
          <w:trHeight w:val="221" w:hRule="atLeast"/>
        </w:trPr>
        <w:tc>
          <w:tcPr>
            <w:tcW w:w="1151" w:type="dxa"/>
            <w:tcBorders>
              <w:bottom w:val="nil"/>
            </w:tcBorders>
          </w:tcPr>
          <w:p>
            <w:pPr>
              <w:pStyle w:val="TableParagraph"/>
              <w:spacing w:before="28"/>
              <w:ind w:left="69"/>
              <w:rPr>
                <w:sz w:val="14"/>
              </w:rPr>
            </w:pPr>
            <w:r>
              <w:rPr>
                <w:sz w:val="14"/>
              </w:rPr>
              <w:t>ADIF</w:t>
            </w:r>
            <w:r>
              <w:rPr>
                <w:spacing w:val="-2"/>
                <w:sz w:val="14"/>
              </w:rPr>
              <w:t> </w:t>
            </w:r>
            <w:r>
              <w:rPr>
                <w:sz w:val="14"/>
              </w:rPr>
              <w:t>-</w:t>
            </w:r>
            <w:r>
              <w:rPr>
                <w:spacing w:val="-2"/>
                <w:sz w:val="14"/>
              </w:rPr>
              <w:t> </w:t>
            </w:r>
            <w:r>
              <w:rPr>
                <w:spacing w:val="-5"/>
                <w:sz w:val="14"/>
              </w:rPr>
              <w:t>AV</w:t>
            </w:r>
          </w:p>
        </w:tc>
        <w:tc>
          <w:tcPr>
            <w:tcW w:w="930" w:type="dxa"/>
            <w:tcBorders>
              <w:bottom w:val="nil"/>
            </w:tcBorders>
          </w:tcPr>
          <w:p>
            <w:pPr>
              <w:pStyle w:val="TableParagraph"/>
              <w:spacing w:before="28"/>
              <w:ind w:left="19"/>
              <w:jc w:val="center"/>
              <w:rPr>
                <w:sz w:val="14"/>
              </w:rPr>
            </w:pPr>
            <w:r>
              <w:rPr>
                <w:sz w:val="14"/>
              </w:rPr>
              <w:t>-</w:t>
            </w:r>
            <w:r>
              <w:rPr>
                <w:spacing w:val="-2"/>
                <w:sz w:val="14"/>
              </w:rPr>
              <w:t>3.400.000,00</w:t>
            </w:r>
          </w:p>
        </w:tc>
        <w:tc>
          <w:tcPr>
            <w:tcW w:w="1092" w:type="dxa"/>
            <w:tcBorders>
              <w:bottom w:val="nil"/>
            </w:tcBorders>
          </w:tcPr>
          <w:p>
            <w:pPr>
              <w:pStyle w:val="TableParagraph"/>
              <w:spacing w:before="28"/>
              <w:ind w:left="110"/>
              <w:jc w:val="center"/>
              <w:rPr>
                <w:sz w:val="14"/>
              </w:rPr>
            </w:pPr>
            <w:r>
              <w:rPr>
                <w:sz w:val="14"/>
              </w:rPr>
              <w:t>-</w:t>
            </w:r>
            <w:r>
              <w:rPr>
                <w:spacing w:val="-2"/>
                <w:sz w:val="14"/>
              </w:rPr>
              <w:t>46.370.280,00</w:t>
            </w:r>
          </w:p>
        </w:tc>
        <w:tc>
          <w:tcPr>
            <w:tcW w:w="1072" w:type="dxa"/>
            <w:tcBorders>
              <w:bottom w:val="nil"/>
            </w:tcBorders>
          </w:tcPr>
          <w:p>
            <w:pPr>
              <w:pStyle w:val="TableParagraph"/>
              <w:spacing w:before="28"/>
              <w:ind w:left="89"/>
              <w:jc w:val="center"/>
              <w:rPr>
                <w:sz w:val="14"/>
              </w:rPr>
            </w:pPr>
            <w:r>
              <w:rPr>
                <w:sz w:val="14"/>
              </w:rPr>
              <w:t>-</w:t>
            </w:r>
            <w:r>
              <w:rPr>
                <w:spacing w:val="-2"/>
                <w:sz w:val="14"/>
              </w:rPr>
              <w:t>46.906.599,00</w:t>
            </w:r>
          </w:p>
        </w:tc>
        <w:tc>
          <w:tcPr>
            <w:tcW w:w="1055" w:type="dxa"/>
            <w:tcBorders>
              <w:bottom w:val="nil"/>
            </w:tcBorders>
          </w:tcPr>
          <w:p>
            <w:pPr>
              <w:pStyle w:val="TableParagraph"/>
              <w:spacing w:before="28"/>
              <w:ind w:left="72"/>
              <w:jc w:val="center"/>
              <w:rPr>
                <w:sz w:val="14"/>
              </w:rPr>
            </w:pPr>
            <w:r>
              <w:rPr>
                <w:sz w:val="14"/>
              </w:rPr>
              <w:t>-</w:t>
            </w:r>
            <w:r>
              <w:rPr>
                <w:spacing w:val="-2"/>
                <w:sz w:val="14"/>
              </w:rPr>
              <w:t>31.951.260,00</w:t>
            </w:r>
          </w:p>
        </w:tc>
        <w:tc>
          <w:tcPr>
            <w:tcW w:w="1181" w:type="dxa"/>
            <w:tcBorders>
              <w:bottom w:val="nil"/>
            </w:tcBorders>
          </w:tcPr>
          <w:p>
            <w:pPr>
              <w:pStyle w:val="TableParagraph"/>
              <w:spacing w:before="28"/>
              <w:ind w:left="129"/>
              <w:jc w:val="center"/>
              <w:rPr>
                <w:sz w:val="14"/>
              </w:rPr>
            </w:pPr>
            <w:r>
              <w:rPr>
                <w:sz w:val="14"/>
              </w:rPr>
              <w:t>-</w:t>
            </w:r>
            <w:r>
              <w:rPr>
                <w:spacing w:val="-2"/>
                <w:sz w:val="14"/>
              </w:rPr>
              <w:t>105.600.000,00</w:t>
            </w:r>
          </w:p>
        </w:tc>
        <w:tc>
          <w:tcPr>
            <w:tcW w:w="1085" w:type="dxa"/>
            <w:tcBorders>
              <w:bottom w:val="nil"/>
            </w:tcBorders>
          </w:tcPr>
          <w:p>
            <w:pPr>
              <w:pStyle w:val="TableParagraph"/>
              <w:spacing w:before="28"/>
              <w:ind w:right="58"/>
              <w:jc w:val="right"/>
              <w:rPr>
                <w:sz w:val="14"/>
              </w:rPr>
            </w:pPr>
            <w:r>
              <w:rPr>
                <w:sz w:val="14"/>
              </w:rPr>
              <w:t>-</w:t>
            </w:r>
            <w:r>
              <w:rPr>
                <w:spacing w:val="-2"/>
                <w:sz w:val="14"/>
              </w:rPr>
              <w:t>66.000.000,00</w:t>
            </w:r>
          </w:p>
        </w:tc>
        <w:tc>
          <w:tcPr>
            <w:tcW w:w="871" w:type="dxa"/>
            <w:tcBorders>
              <w:bottom w:val="nil"/>
            </w:tcBorders>
          </w:tcPr>
          <w:p>
            <w:pPr>
              <w:pStyle w:val="TableParagraph"/>
              <w:spacing w:before="28"/>
              <w:ind w:left="64"/>
              <w:jc w:val="center"/>
              <w:rPr>
                <w:sz w:val="14"/>
              </w:rPr>
            </w:pPr>
            <w:r>
              <w:rPr>
                <w:sz w:val="14"/>
              </w:rPr>
              <w:t>-</w:t>
            </w:r>
            <w:r>
              <w:rPr>
                <w:spacing w:val="-2"/>
                <w:sz w:val="14"/>
              </w:rPr>
              <w:t>191.251,00</w:t>
            </w:r>
          </w:p>
        </w:tc>
        <w:tc>
          <w:tcPr>
            <w:tcW w:w="992" w:type="dxa"/>
            <w:tcBorders>
              <w:bottom w:val="nil"/>
            </w:tcBorders>
          </w:tcPr>
          <w:p>
            <w:pPr>
              <w:pStyle w:val="TableParagraph"/>
              <w:spacing w:before="28"/>
              <w:ind w:right="58"/>
              <w:jc w:val="right"/>
              <w:rPr>
                <w:sz w:val="14"/>
              </w:rPr>
            </w:pPr>
            <w:r>
              <w:rPr>
                <w:sz w:val="14"/>
              </w:rPr>
              <w:t>-</w:t>
            </w:r>
            <w:r>
              <w:rPr>
                <w:spacing w:val="-2"/>
                <w:sz w:val="14"/>
              </w:rPr>
              <w:t>478.797,00</w:t>
            </w:r>
          </w:p>
        </w:tc>
        <w:tc>
          <w:tcPr>
            <w:tcW w:w="1102" w:type="dxa"/>
            <w:tcBorders>
              <w:bottom w:val="nil"/>
            </w:tcBorders>
          </w:tcPr>
          <w:p>
            <w:pPr>
              <w:pStyle w:val="TableParagraph"/>
              <w:spacing w:before="28"/>
              <w:ind w:right="57"/>
              <w:jc w:val="right"/>
              <w:rPr>
                <w:b/>
                <w:sz w:val="14"/>
              </w:rPr>
            </w:pPr>
            <w:r>
              <w:rPr>
                <w:b/>
                <w:sz w:val="14"/>
              </w:rPr>
              <w:t>-</w:t>
            </w:r>
            <w:r>
              <w:rPr>
                <w:b/>
                <w:spacing w:val="-2"/>
                <w:sz w:val="14"/>
              </w:rPr>
              <w:t>300.898.187,00</w:t>
            </w:r>
          </w:p>
        </w:tc>
      </w:tr>
      <w:tr>
        <w:trPr>
          <w:trHeight w:val="219" w:hRule="atLeast"/>
        </w:trPr>
        <w:tc>
          <w:tcPr>
            <w:tcW w:w="1151" w:type="dxa"/>
            <w:tcBorders>
              <w:top w:val="nil"/>
              <w:bottom w:val="nil"/>
            </w:tcBorders>
          </w:tcPr>
          <w:p>
            <w:pPr>
              <w:pStyle w:val="TableParagraph"/>
              <w:spacing w:before="26"/>
              <w:ind w:left="69"/>
              <w:rPr>
                <w:sz w:val="14"/>
              </w:rPr>
            </w:pPr>
            <w:r>
              <w:rPr>
                <w:spacing w:val="-4"/>
                <w:sz w:val="14"/>
              </w:rPr>
              <w:t>ADIF</w:t>
            </w:r>
          </w:p>
        </w:tc>
        <w:tc>
          <w:tcPr>
            <w:tcW w:w="930" w:type="dxa"/>
            <w:tcBorders>
              <w:top w:val="nil"/>
              <w:bottom w:val="nil"/>
            </w:tcBorders>
          </w:tcPr>
          <w:p>
            <w:pPr>
              <w:pStyle w:val="TableParagraph"/>
              <w:spacing w:before="26"/>
              <w:ind w:left="123"/>
              <w:jc w:val="center"/>
              <w:rPr>
                <w:sz w:val="14"/>
              </w:rPr>
            </w:pPr>
            <w:r>
              <w:rPr>
                <w:sz w:val="14"/>
              </w:rPr>
              <w:t>-</w:t>
            </w:r>
            <w:r>
              <w:rPr>
                <w:spacing w:val="-2"/>
                <w:sz w:val="14"/>
              </w:rPr>
              <w:t>850.000,00</w:t>
            </w:r>
          </w:p>
        </w:tc>
        <w:tc>
          <w:tcPr>
            <w:tcW w:w="1092" w:type="dxa"/>
            <w:tcBorders>
              <w:top w:val="nil"/>
              <w:bottom w:val="nil"/>
            </w:tcBorders>
          </w:tcPr>
          <w:p>
            <w:pPr>
              <w:pStyle w:val="TableParagraph"/>
              <w:rPr>
                <w:sz w:val="14"/>
              </w:rPr>
            </w:pPr>
          </w:p>
        </w:tc>
        <w:tc>
          <w:tcPr>
            <w:tcW w:w="1072" w:type="dxa"/>
            <w:tcBorders>
              <w:top w:val="nil"/>
              <w:bottom w:val="nil"/>
            </w:tcBorders>
          </w:tcPr>
          <w:p>
            <w:pPr>
              <w:pStyle w:val="TableParagraph"/>
              <w:rPr>
                <w:sz w:val="14"/>
              </w:rPr>
            </w:pPr>
          </w:p>
        </w:tc>
        <w:tc>
          <w:tcPr>
            <w:tcW w:w="1055" w:type="dxa"/>
            <w:tcBorders>
              <w:top w:val="nil"/>
              <w:bottom w:val="nil"/>
            </w:tcBorders>
          </w:tcPr>
          <w:p>
            <w:pPr>
              <w:pStyle w:val="TableParagraph"/>
              <w:rPr>
                <w:sz w:val="14"/>
              </w:rPr>
            </w:pPr>
          </w:p>
        </w:tc>
        <w:tc>
          <w:tcPr>
            <w:tcW w:w="1181" w:type="dxa"/>
            <w:tcBorders>
              <w:top w:val="nil"/>
              <w:bottom w:val="nil"/>
            </w:tcBorders>
          </w:tcPr>
          <w:p>
            <w:pPr>
              <w:pStyle w:val="TableParagraph"/>
              <w:rPr>
                <w:sz w:val="14"/>
              </w:rPr>
            </w:pPr>
          </w:p>
        </w:tc>
        <w:tc>
          <w:tcPr>
            <w:tcW w:w="1085" w:type="dxa"/>
            <w:tcBorders>
              <w:top w:val="nil"/>
              <w:bottom w:val="nil"/>
            </w:tcBorders>
          </w:tcPr>
          <w:p>
            <w:pPr>
              <w:pStyle w:val="TableParagraph"/>
              <w:rPr>
                <w:sz w:val="14"/>
              </w:rPr>
            </w:pPr>
          </w:p>
        </w:tc>
        <w:tc>
          <w:tcPr>
            <w:tcW w:w="871" w:type="dxa"/>
            <w:tcBorders>
              <w:top w:val="nil"/>
              <w:bottom w:val="nil"/>
            </w:tcBorders>
          </w:tcPr>
          <w:p>
            <w:pPr>
              <w:pStyle w:val="TableParagraph"/>
              <w:spacing w:before="26"/>
              <w:ind w:left="135"/>
              <w:jc w:val="center"/>
              <w:rPr>
                <w:sz w:val="14"/>
              </w:rPr>
            </w:pPr>
            <w:r>
              <w:rPr>
                <w:sz w:val="14"/>
              </w:rPr>
              <w:t>-</w:t>
            </w:r>
            <w:r>
              <w:rPr>
                <w:spacing w:val="-2"/>
                <w:sz w:val="14"/>
              </w:rPr>
              <w:t>29.750,00</w:t>
            </w:r>
          </w:p>
        </w:tc>
        <w:tc>
          <w:tcPr>
            <w:tcW w:w="992" w:type="dxa"/>
            <w:tcBorders>
              <w:top w:val="nil"/>
              <w:bottom w:val="nil"/>
            </w:tcBorders>
          </w:tcPr>
          <w:p>
            <w:pPr>
              <w:pStyle w:val="TableParagraph"/>
              <w:spacing w:before="26"/>
              <w:ind w:right="58"/>
              <w:jc w:val="right"/>
              <w:rPr>
                <w:sz w:val="14"/>
              </w:rPr>
            </w:pPr>
            <w:r>
              <w:rPr>
                <w:sz w:val="14"/>
              </w:rPr>
              <w:t>-</w:t>
            </w:r>
            <w:r>
              <w:rPr>
                <w:spacing w:val="-2"/>
                <w:sz w:val="14"/>
              </w:rPr>
              <w:t>85.000,00</w:t>
            </w:r>
          </w:p>
        </w:tc>
        <w:tc>
          <w:tcPr>
            <w:tcW w:w="1102" w:type="dxa"/>
            <w:tcBorders>
              <w:top w:val="nil"/>
              <w:bottom w:val="nil"/>
            </w:tcBorders>
          </w:tcPr>
          <w:p>
            <w:pPr>
              <w:pStyle w:val="TableParagraph"/>
              <w:spacing w:before="26"/>
              <w:ind w:right="57"/>
              <w:jc w:val="right"/>
              <w:rPr>
                <w:b/>
                <w:sz w:val="14"/>
              </w:rPr>
            </w:pPr>
            <w:r>
              <w:rPr>
                <w:b/>
                <w:sz w:val="14"/>
              </w:rPr>
              <w:t>-</w:t>
            </w:r>
            <w:r>
              <w:rPr>
                <w:b/>
                <w:spacing w:val="-2"/>
                <w:sz w:val="14"/>
              </w:rPr>
              <w:t>964.750,00</w:t>
            </w:r>
          </w:p>
        </w:tc>
      </w:tr>
      <w:tr>
        <w:trPr>
          <w:trHeight w:val="204" w:hRule="atLeast"/>
        </w:trPr>
        <w:tc>
          <w:tcPr>
            <w:tcW w:w="1151" w:type="dxa"/>
            <w:tcBorders>
              <w:top w:val="nil"/>
              <w:bottom w:val="nil"/>
            </w:tcBorders>
          </w:tcPr>
          <w:p>
            <w:pPr>
              <w:pStyle w:val="TableParagraph"/>
              <w:spacing w:line="159" w:lineRule="exact" w:before="26"/>
              <w:ind w:left="69"/>
              <w:rPr>
                <w:sz w:val="14"/>
              </w:rPr>
            </w:pPr>
            <w:r>
              <w:rPr>
                <w:spacing w:val="-4"/>
                <w:sz w:val="14"/>
              </w:rPr>
              <w:t>CARM</w:t>
            </w:r>
          </w:p>
        </w:tc>
        <w:tc>
          <w:tcPr>
            <w:tcW w:w="930" w:type="dxa"/>
            <w:tcBorders>
              <w:top w:val="nil"/>
              <w:bottom w:val="nil"/>
            </w:tcBorders>
          </w:tcPr>
          <w:p>
            <w:pPr>
              <w:pStyle w:val="TableParagraph"/>
              <w:spacing w:line="159" w:lineRule="exact" w:before="26"/>
              <w:ind w:left="19"/>
              <w:jc w:val="center"/>
              <w:rPr>
                <w:sz w:val="14"/>
              </w:rPr>
            </w:pPr>
            <w:r>
              <w:rPr>
                <w:sz w:val="14"/>
              </w:rPr>
              <w:t>-</w:t>
            </w:r>
            <w:r>
              <w:rPr>
                <w:spacing w:val="-2"/>
                <w:sz w:val="14"/>
              </w:rPr>
              <w:t>2.125.000,00</w:t>
            </w:r>
          </w:p>
        </w:tc>
        <w:tc>
          <w:tcPr>
            <w:tcW w:w="1092" w:type="dxa"/>
            <w:tcBorders>
              <w:top w:val="nil"/>
              <w:bottom w:val="nil"/>
            </w:tcBorders>
          </w:tcPr>
          <w:p>
            <w:pPr>
              <w:pStyle w:val="TableParagraph"/>
              <w:spacing w:line="159" w:lineRule="exact" w:before="26"/>
              <w:ind w:left="110"/>
              <w:jc w:val="center"/>
              <w:rPr>
                <w:sz w:val="14"/>
              </w:rPr>
            </w:pPr>
            <w:r>
              <w:rPr>
                <w:sz w:val="14"/>
              </w:rPr>
              <w:t>-</w:t>
            </w:r>
            <w:r>
              <w:rPr>
                <w:spacing w:val="-2"/>
                <w:sz w:val="14"/>
              </w:rPr>
              <w:t>18.267.080,00</w:t>
            </w:r>
          </w:p>
        </w:tc>
        <w:tc>
          <w:tcPr>
            <w:tcW w:w="1072" w:type="dxa"/>
            <w:tcBorders>
              <w:top w:val="nil"/>
              <w:bottom w:val="nil"/>
            </w:tcBorders>
          </w:tcPr>
          <w:p>
            <w:pPr>
              <w:pStyle w:val="TableParagraph"/>
              <w:spacing w:line="159" w:lineRule="exact" w:before="26"/>
              <w:ind w:left="89"/>
              <w:jc w:val="center"/>
              <w:rPr>
                <w:sz w:val="14"/>
              </w:rPr>
            </w:pPr>
            <w:r>
              <w:rPr>
                <w:sz w:val="14"/>
              </w:rPr>
              <w:t>-</w:t>
            </w:r>
            <w:r>
              <w:rPr>
                <w:spacing w:val="-2"/>
                <w:sz w:val="14"/>
              </w:rPr>
              <w:t>18.478.357,00</w:t>
            </w:r>
          </w:p>
        </w:tc>
        <w:tc>
          <w:tcPr>
            <w:tcW w:w="1055" w:type="dxa"/>
            <w:tcBorders>
              <w:top w:val="nil"/>
              <w:bottom w:val="nil"/>
            </w:tcBorders>
          </w:tcPr>
          <w:p>
            <w:pPr>
              <w:pStyle w:val="TableParagraph"/>
              <w:spacing w:line="159" w:lineRule="exact" w:before="26"/>
              <w:ind w:left="72"/>
              <w:jc w:val="center"/>
              <w:rPr>
                <w:sz w:val="14"/>
              </w:rPr>
            </w:pPr>
            <w:r>
              <w:rPr>
                <w:sz w:val="14"/>
              </w:rPr>
              <w:t>-</w:t>
            </w:r>
            <w:r>
              <w:rPr>
                <w:spacing w:val="-2"/>
                <w:sz w:val="14"/>
              </w:rPr>
              <w:t>12.586.860,00</w:t>
            </w:r>
          </w:p>
        </w:tc>
        <w:tc>
          <w:tcPr>
            <w:tcW w:w="1181" w:type="dxa"/>
            <w:tcBorders>
              <w:top w:val="nil"/>
              <w:bottom w:val="nil"/>
            </w:tcBorders>
          </w:tcPr>
          <w:p>
            <w:pPr>
              <w:pStyle w:val="TableParagraph"/>
              <w:spacing w:line="159" w:lineRule="exact" w:before="26"/>
              <w:ind w:left="198"/>
              <w:jc w:val="center"/>
              <w:rPr>
                <w:sz w:val="14"/>
              </w:rPr>
            </w:pPr>
            <w:r>
              <w:rPr>
                <w:sz w:val="14"/>
              </w:rPr>
              <w:t>-</w:t>
            </w:r>
            <w:r>
              <w:rPr>
                <w:spacing w:val="-2"/>
                <w:sz w:val="14"/>
              </w:rPr>
              <w:t>41.600.000,00</w:t>
            </w:r>
          </w:p>
        </w:tc>
        <w:tc>
          <w:tcPr>
            <w:tcW w:w="1085" w:type="dxa"/>
            <w:tcBorders>
              <w:top w:val="nil"/>
              <w:bottom w:val="nil"/>
            </w:tcBorders>
          </w:tcPr>
          <w:p>
            <w:pPr>
              <w:pStyle w:val="TableParagraph"/>
              <w:spacing w:line="159" w:lineRule="exact" w:before="26"/>
              <w:ind w:right="58"/>
              <w:jc w:val="right"/>
              <w:rPr>
                <w:sz w:val="14"/>
              </w:rPr>
            </w:pPr>
            <w:r>
              <w:rPr>
                <w:sz w:val="14"/>
              </w:rPr>
              <w:t>-</w:t>
            </w:r>
            <w:r>
              <w:rPr>
                <w:spacing w:val="-2"/>
                <w:sz w:val="14"/>
              </w:rPr>
              <w:t>26.000.000,00</w:t>
            </w:r>
          </w:p>
        </w:tc>
        <w:tc>
          <w:tcPr>
            <w:tcW w:w="871" w:type="dxa"/>
            <w:tcBorders>
              <w:top w:val="nil"/>
              <w:bottom w:val="nil"/>
            </w:tcBorders>
          </w:tcPr>
          <w:p>
            <w:pPr>
              <w:pStyle w:val="TableParagraph"/>
              <w:spacing w:line="159" w:lineRule="exact" w:before="26"/>
              <w:ind w:left="64"/>
              <w:jc w:val="center"/>
              <w:rPr>
                <w:sz w:val="14"/>
              </w:rPr>
            </w:pPr>
            <w:r>
              <w:rPr>
                <w:sz w:val="14"/>
              </w:rPr>
              <w:t>-</w:t>
            </w:r>
            <w:r>
              <w:rPr>
                <w:spacing w:val="-2"/>
                <w:sz w:val="14"/>
              </w:rPr>
              <w:t>102.838,00</w:t>
            </w:r>
          </w:p>
        </w:tc>
        <w:tc>
          <w:tcPr>
            <w:tcW w:w="992" w:type="dxa"/>
            <w:tcBorders>
              <w:top w:val="nil"/>
              <w:bottom w:val="nil"/>
            </w:tcBorders>
          </w:tcPr>
          <w:p>
            <w:pPr>
              <w:pStyle w:val="TableParagraph"/>
              <w:spacing w:line="159" w:lineRule="exact" w:before="26"/>
              <w:ind w:right="58"/>
              <w:jc w:val="right"/>
              <w:rPr>
                <w:sz w:val="14"/>
              </w:rPr>
            </w:pPr>
            <w:r>
              <w:rPr>
                <w:sz w:val="14"/>
              </w:rPr>
              <w:t>-</w:t>
            </w:r>
            <w:r>
              <w:rPr>
                <w:spacing w:val="-2"/>
                <w:sz w:val="14"/>
              </w:rPr>
              <w:t>267.127,00</w:t>
            </w:r>
          </w:p>
        </w:tc>
        <w:tc>
          <w:tcPr>
            <w:tcW w:w="1102" w:type="dxa"/>
            <w:tcBorders>
              <w:top w:val="nil"/>
              <w:bottom w:val="nil"/>
            </w:tcBorders>
          </w:tcPr>
          <w:p>
            <w:pPr>
              <w:pStyle w:val="TableParagraph"/>
              <w:spacing w:line="159" w:lineRule="exact" w:before="26"/>
              <w:ind w:right="57"/>
              <w:jc w:val="right"/>
              <w:rPr>
                <w:b/>
                <w:sz w:val="14"/>
              </w:rPr>
            </w:pPr>
            <w:r>
              <w:rPr>
                <w:b/>
                <w:sz w:val="14"/>
              </w:rPr>
              <w:t>-</w:t>
            </w:r>
            <w:r>
              <w:rPr>
                <w:b/>
                <w:spacing w:val="-2"/>
                <w:sz w:val="14"/>
              </w:rPr>
              <w:t>119.427.262,00</w:t>
            </w:r>
          </w:p>
        </w:tc>
      </w:tr>
      <w:tr>
        <w:trPr>
          <w:trHeight w:val="336" w:hRule="atLeast"/>
        </w:trPr>
        <w:tc>
          <w:tcPr>
            <w:tcW w:w="1151" w:type="dxa"/>
            <w:tcBorders>
              <w:top w:val="nil"/>
              <w:bottom w:val="nil"/>
            </w:tcBorders>
          </w:tcPr>
          <w:p>
            <w:pPr>
              <w:pStyle w:val="TableParagraph"/>
              <w:spacing w:line="160" w:lineRule="atLeast"/>
              <w:ind w:left="69" w:right="92"/>
              <w:rPr>
                <w:sz w:val="14"/>
              </w:rPr>
            </w:pPr>
            <w:r>
              <w:rPr>
                <w:sz w:val="14"/>
              </w:rPr>
              <w:t>Ayuntamiento</w:t>
            </w:r>
            <w:r>
              <w:rPr>
                <w:spacing w:val="-9"/>
                <w:sz w:val="14"/>
              </w:rPr>
              <w:t> </w:t>
            </w:r>
            <w:r>
              <w:rPr>
                <w:sz w:val="14"/>
              </w:rPr>
              <w:t>de</w:t>
            </w:r>
            <w:r>
              <w:rPr>
                <w:spacing w:val="40"/>
                <w:sz w:val="14"/>
              </w:rPr>
              <w:t> </w:t>
            </w:r>
            <w:r>
              <w:rPr>
                <w:spacing w:val="-2"/>
                <w:sz w:val="14"/>
              </w:rPr>
              <w:t>Murcia</w:t>
            </w:r>
          </w:p>
        </w:tc>
        <w:tc>
          <w:tcPr>
            <w:tcW w:w="930" w:type="dxa"/>
            <w:tcBorders>
              <w:top w:val="nil"/>
              <w:bottom w:val="nil"/>
            </w:tcBorders>
          </w:tcPr>
          <w:p>
            <w:pPr>
              <w:pStyle w:val="TableParagraph"/>
              <w:spacing w:before="92"/>
              <w:ind w:left="19"/>
              <w:jc w:val="center"/>
              <w:rPr>
                <w:sz w:val="14"/>
              </w:rPr>
            </w:pPr>
            <w:r>
              <w:rPr>
                <w:sz w:val="14"/>
              </w:rPr>
              <w:t>-</w:t>
            </w:r>
            <w:r>
              <w:rPr>
                <w:spacing w:val="-2"/>
                <w:sz w:val="14"/>
              </w:rPr>
              <w:t>2.125.000,00</w:t>
            </w:r>
          </w:p>
        </w:tc>
        <w:tc>
          <w:tcPr>
            <w:tcW w:w="1092" w:type="dxa"/>
            <w:tcBorders>
              <w:top w:val="nil"/>
              <w:bottom w:val="nil"/>
            </w:tcBorders>
          </w:tcPr>
          <w:p>
            <w:pPr>
              <w:pStyle w:val="TableParagraph"/>
              <w:spacing w:before="92"/>
              <w:ind w:left="181"/>
              <w:jc w:val="center"/>
              <w:rPr>
                <w:sz w:val="14"/>
              </w:rPr>
            </w:pPr>
            <w:r>
              <w:rPr>
                <w:sz w:val="14"/>
              </w:rPr>
              <w:t>-</w:t>
            </w:r>
            <w:r>
              <w:rPr>
                <w:spacing w:val="-2"/>
                <w:sz w:val="14"/>
              </w:rPr>
              <w:t>5.620.640,00</w:t>
            </w:r>
          </w:p>
        </w:tc>
        <w:tc>
          <w:tcPr>
            <w:tcW w:w="1072" w:type="dxa"/>
            <w:tcBorders>
              <w:top w:val="nil"/>
              <w:bottom w:val="nil"/>
            </w:tcBorders>
          </w:tcPr>
          <w:p>
            <w:pPr>
              <w:pStyle w:val="TableParagraph"/>
              <w:spacing w:before="92"/>
              <w:ind w:left="161"/>
              <w:jc w:val="center"/>
              <w:rPr>
                <w:sz w:val="14"/>
              </w:rPr>
            </w:pPr>
            <w:r>
              <w:rPr>
                <w:sz w:val="14"/>
              </w:rPr>
              <w:t>-</w:t>
            </w:r>
            <w:r>
              <w:rPr>
                <w:spacing w:val="-2"/>
                <w:sz w:val="14"/>
              </w:rPr>
              <w:t>5.685.648,00</w:t>
            </w:r>
          </w:p>
        </w:tc>
        <w:tc>
          <w:tcPr>
            <w:tcW w:w="1055" w:type="dxa"/>
            <w:tcBorders>
              <w:top w:val="nil"/>
              <w:bottom w:val="nil"/>
            </w:tcBorders>
          </w:tcPr>
          <w:p>
            <w:pPr>
              <w:pStyle w:val="TableParagraph"/>
              <w:spacing w:before="92"/>
              <w:ind w:left="144"/>
              <w:jc w:val="center"/>
              <w:rPr>
                <w:sz w:val="14"/>
              </w:rPr>
            </w:pPr>
            <w:r>
              <w:rPr>
                <w:sz w:val="14"/>
              </w:rPr>
              <w:t>-</w:t>
            </w:r>
            <w:r>
              <w:rPr>
                <w:spacing w:val="-2"/>
                <w:sz w:val="14"/>
              </w:rPr>
              <w:t>3.872.880,00</w:t>
            </w:r>
          </w:p>
        </w:tc>
        <w:tc>
          <w:tcPr>
            <w:tcW w:w="1181" w:type="dxa"/>
            <w:tcBorders>
              <w:top w:val="nil"/>
              <w:bottom w:val="nil"/>
            </w:tcBorders>
          </w:tcPr>
          <w:p>
            <w:pPr>
              <w:pStyle w:val="TableParagraph"/>
              <w:spacing w:before="92"/>
              <w:ind w:left="198"/>
              <w:jc w:val="center"/>
              <w:rPr>
                <w:sz w:val="14"/>
              </w:rPr>
            </w:pPr>
            <w:r>
              <w:rPr>
                <w:sz w:val="14"/>
              </w:rPr>
              <w:t>-</w:t>
            </w:r>
            <w:r>
              <w:rPr>
                <w:spacing w:val="-2"/>
                <w:sz w:val="14"/>
              </w:rPr>
              <w:t>12.800.000,00</w:t>
            </w:r>
          </w:p>
        </w:tc>
        <w:tc>
          <w:tcPr>
            <w:tcW w:w="1085" w:type="dxa"/>
            <w:tcBorders>
              <w:top w:val="nil"/>
              <w:bottom w:val="nil"/>
            </w:tcBorders>
          </w:tcPr>
          <w:p>
            <w:pPr>
              <w:pStyle w:val="TableParagraph"/>
              <w:spacing w:before="92"/>
              <w:ind w:right="57"/>
              <w:jc w:val="right"/>
              <w:rPr>
                <w:sz w:val="14"/>
              </w:rPr>
            </w:pPr>
            <w:r>
              <w:rPr>
                <w:sz w:val="14"/>
              </w:rPr>
              <w:t>-</w:t>
            </w:r>
            <w:r>
              <w:rPr>
                <w:spacing w:val="-2"/>
                <w:sz w:val="14"/>
              </w:rPr>
              <w:t>8.000.000,00</w:t>
            </w:r>
          </w:p>
        </w:tc>
        <w:tc>
          <w:tcPr>
            <w:tcW w:w="871" w:type="dxa"/>
            <w:tcBorders>
              <w:top w:val="nil"/>
              <w:bottom w:val="nil"/>
            </w:tcBorders>
          </w:tcPr>
          <w:p>
            <w:pPr>
              <w:pStyle w:val="TableParagraph"/>
              <w:spacing w:before="92"/>
              <w:ind w:left="135"/>
              <w:jc w:val="center"/>
              <w:rPr>
                <w:sz w:val="14"/>
              </w:rPr>
            </w:pPr>
            <w:r>
              <w:rPr>
                <w:sz w:val="14"/>
              </w:rPr>
              <w:t>-</w:t>
            </w:r>
            <w:r>
              <w:rPr>
                <w:spacing w:val="-2"/>
                <w:sz w:val="14"/>
              </w:rPr>
              <w:t>83.133,00</w:t>
            </w:r>
          </w:p>
        </w:tc>
        <w:tc>
          <w:tcPr>
            <w:tcW w:w="992" w:type="dxa"/>
            <w:tcBorders>
              <w:top w:val="nil"/>
              <w:bottom w:val="nil"/>
            </w:tcBorders>
          </w:tcPr>
          <w:p>
            <w:pPr>
              <w:pStyle w:val="TableParagraph"/>
              <w:spacing w:before="92"/>
              <w:ind w:right="58"/>
              <w:jc w:val="right"/>
              <w:rPr>
                <w:sz w:val="14"/>
              </w:rPr>
            </w:pPr>
            <w:r>
              <w:rPr>
                <w:sz w:val="14"/>
              </w:rPr>
              <w:t>-</w:t>
            </w:r>
            <w:r>
              <w:rPr>
                <w:spacing w:val="-2"/>
                <w:sz w:val="14"/>
              </w:rPr>
              <w:t>229.565,00</w:t>
            </w:r>
          </w:p>
        </w:tc>
        <w:tc>
          <w:tcPr>
            <w:tcW w:w="1102" w:type="dxa"/>
            <w:tcBorders>
              <w:top w:val="nil"/>
              <w:bottom w:val="nil"/>
            </w:tcBorders>
          </w:tcPr>
          <w:p>
            <w:pPr>
              <w:pStyle w:val="TableParagraph"/>
              <w:spacing w:before="92"/>
              <w:ind w:right="58"/>
              <w:jc w:val="right"/>
              <w:rPr>
                <w:b/>
                <w:sz w:val="14"/>
              </w:rPr>
            </w:pPr>
            <w:r>
              <w:rPr>
                <w:b/>
                <w:sz w:val="14"/>
              </w:rPr>
              <w:t>-</w:t>
            </w:r>
            <w:r>
              <w:rPr>
                <w:b/>
                <w:spacing w:val="-2"/>
                <w:sz w:val="14"/>
              </w:rPr>
              <w:t>38.416.866,00</w:t>
            </w:r>
          </w:p>
        </w:tc>
      </w:tr>
      <w:tr>
        <w:trPr>
          <w:trHeight w:val="318" w:hRule="atLeast"/>
        </w:trPr>
        <w:tc>
          <w:tcPr>
            <w:tcW w:w="1151" w:type="dxa"/>
            <w:tcBorders>
              <w:top w:val="nil"/>
            </w:tcBorders>
          </w:tcPr>
          <w:p>
            <w:pPr>
              <w:pStyle w:val="TableParagraph"/>
              <w:spacing w:line="158" w:lineRule="exact"/>
              <w:ind w:left="69"/>
              <w:rPr>
                <w:sz w:val="14"/>
              </w:rPr>
            </w:pPr>
            <w:r>
              <w:rPr>
                <w:sz w:val="14"/>
              </w:rPr>
              <w:t>Murcia</w:t>
            </w:r>
            <w:r>
              <w:rPr>
                <w:spacing w:val="-4"/>
                <w:sz w:val="14"/>
              </w:rPr>
              <w:t> Alta</w:t>
            </w:r>
          </w:p>
          <w:p>
            <w:pPr>
              <w:pStyle w:val="TableParagraph"/>
              <w:spacing w:line="140" w:lineRule="exact"/>
              <w:ind w:left="69"/>
              <w:rPr>
                <w:sz w:val="14"/>
              </w:rPr>
            </w:pPr>
            <w:r>
              <w:rPr>
                <w:sz w:val="14"/>
              </w:rPr>
              <w:t>Velocidad,</w:t>
            </w:r>
            <w:r>
              <w:rPr>
                <w:spacing w:val="-8"/>
                <w:sz w:val="14"/>
              </w:rPr>
              <w:t> </w:t>
            </w:r>
            <w:r>
              <w:rPr>
                <w:spacing w:val="-4"/>
                <w:sz w:val="14"/>
              </w:rPr>
              <w:t>S.A.</w:t>
            </w:r>
          </w:p>
        </w:tc>
        <w:tc>
          <w:tcPr>
            <w:tcW w:w="930" w:type="dxa"/>
            <w:tcBorders>
              <w:top w:val="nil"/>
            </w:tcBorders>
          </w:tcPr>
          <w:p>
            <w:pPr>
              <w:pStyle w:val="TableParagraph"/>
              <w:rPr>
                <w:sz w:val="20"/>
              </w:rPr>
            </w:pPr>
          </w:p>
        </w:tc>
        <w:tc>
          <w:tcPr>
            <w:tcW w:w="1092" w:type="dxa"/>
            <w:tcBorders>
              <w:top w:val="nil"/>
            </w:tcBorders>
          </w:tcPr>
          <w:p>
            <w:pPr>
              <w:pStyle w:val="TableParagraph"/>
              <w:rPr>
                <w:sz w:val="20"/>
              </w:rPr>
            </w:pPr>
          </w:p>
        </w:tc>
        <w:tc>
          <w:tcPr>
            <w:tcW w:w="1072" w:type="dxa"/>
            <w:tcBorders>
              <w:top w:val="nil"/>
            </w:tcBorders>
          </w:tcPr>
          <w:p>
            <w:pPr>
              <w:pStyle w:val="TableParagraph"/>
              <w:rPr>
                <w:sz w:val="20"/>
              </w:rPr>
            </w:pPr>
          </w:p>
        </w:tc>
        <w:tc>
          <w:tcPr>
            <w:tcW w:w="1055" w:type="dxa"/>
            <w:tcBorders>
              <w:top w:val="nil"/>
            </w:tcBorders>
          </w:tcPr>
          <w:p>
            <w:pPr>
              <w:pStyle w:val="TableParagraph"/>
              <w:rPr>
                <w:sz w:val="20"/>
              </w:rPr>
            </w:pPr>
          </w:p>
        </w:tc>
        <w:tc>
          <w:tcPr>
            <w:tcW w:w="1181" w:type="dxa"/>
            <w:tcBorders>
              <w:top w:val="nil"/>
            </w:tcBorders>
          </w:tcPr>
          <w:p>
            <w:pPr>
              <w:pStyle w:val="TableParagraph"/>
              <w:rPr>
                <w:sz w:val="20"/>
              </w:rPr>
            </w:pPr>
          </w:p>
        </w:tc>
        <w:tc>
          <w:tcPr>
            <w:tcW w:w="1085" w:type="dxa"/>
            <w:tcBorders>
              <w:top w:val="nil"/>
            </w:tcBorders>
          </w:tcPr>
          <w:p>
            <w:pPr>
              <w:pStyle w:val="TableParagraph"/>
              <w:rPr>
                <w:sz w:val="20"/>
              </w:rPr>
            </w:pPr>
          </w:p>
        </w:tc>
        <w:tc>
          <w:tcPr>
            <w:tcW w:w="871" w:type="dxa"/>
            <w:tcBorders>
              <w:top w:val="nil"/>
            </w:tcBorders>
          </w:tcPr>
          <w:p>
            <w:pPr>
              <w:pStyle w:val="TableParagraph"/>
              <w:rPr>
                <w:sz w:val="20"/>
              </w:rPr>
            </w:pPr>
          </w:p>
        </w:tc>
        <w:tc>
          <w:tcPr>
            <w:tcW w:w="992" w:type="dxa"/>
            <w:tcBorders>
              <w:top w:val="nil"/>
            </w:tcBorders>
          </w:tcPr>
          <w:p>
            <w:pPr>
              <w:pStyle w:val="TableParagraph"/>
              <w:rPr>
                <w:sz w:val="20"/>
              </w:rPr>
            </w:pPr>
          </w:p>
        </w:tc>
        <w:tc>
          <w:tcPr>
            <w:tcW w:w="1102" w:type="dxa"/>
            <w:tcBorders>
              <w:top w:val="nil"/>
            </w:tcBorders>
          </w:tcPr>
          <w:p>
            <w:pPr>
              <w:pStyle w:val="TableParagraph"/>
              <w:rPr>
                <w:sz w:val="20"/>
              </w:rPr>
            </w:pPr>
          </w:p>
        </w:tc>
      </w:tr>
      <w:tr>
        <w:trPr>
          <w:trHeight w:val="220" w:hRule="atLeast"/>
        </w:trPr>
        <w:tc>
          <w:tcPr>
            <w:tcW w:w="1151" w:type="dxa"/>
          </w:tcPr>
          <w:p>
            <w:pPr>
              <w:pStyle w:val="TableParagraph"/>
              <w:spacing w:before="30"/>
              <w:ind w:left="8"/>
              <w:jc w:val="center"/>
              <w:rPr>
                <w:b/>
                <w:sz w:val="14"/>
              </w:rPr>
            </w:pPr>
            <w:r>
              <w:rPr>
                <w:b/>
                <w:spacing w:val="-2"/>
                <w:sz w:val="14"/>
              </w:rPr>
              <w:t>Total</w:t>
            </w:r>
          </w:p>
        </w:tc>
        <w:tc>
          <w:tcPr>
            <w:tcW w:w="930" w:type="dxa"/>
          </w:tcPr>
          <w:p>
            <w:pPr>
              <w:pStyle w:val="TableParagraph"/>
              <w:spacing w:before="30"/>
              <w:ind w:left="19"/>
              <w:jc w:val="center"/>
              <w:rPr>
                <w:b/>
                <w:sz w:val="14"/>
              </w:rPr>
            </w:pPr>
            <w:r>
              <w:rPr>
                <w:b/>
                <w:sz w:val="14"/>
              </w:rPr>
              <w:t>-</w:t>
            </w:r>
            <w:r>
              <w:rPr>
                <w:b/>
                <w:spacing w:val="-2"/>
                <w:sz w:val="14"/>
              </w:rPr>
              <w:t>8.500.000,00</w:t>
            </w:r>
          </w:p>
        </w:tc>
        <w:tc>
          <w:tcPr>
            <w:tcW w:w="1092" w:type="dxa"/>
          </w:tcPr>
          <w:p>
            <w:pPr>
              <w:pStyle w:val="TableParagraph"/>
              <w:spacing w:before="30"/>
              <w:ind w:left="110"/>
              <w:jc w:val="center"/>
              <w:rPr>
                <w:b/>
                <w:sz w:val="14"/>
              </w:rPr>
            </w:pPr>
            <w:r>
              <w:rPr>
                <w:b/>
                <w:sz w:val="14"/>
              </w:rPr>
              <w:t>-</w:t>
            </w:r>
            <w:r>
              <w:rPr>
                <w:b/>
                <w:spacing w:val="-2"/>
                <w:sz w:val="14"/>
              </w:rPr>
              <w:t>70.258.000,00</w:t>
            </w:r>
          </w:p>
        </w:tc>
        <w:tc>
          <w:tcPr>
            <w:tcW w:w="1072" w:type="dxa"/>
          </w:tcPr>
          <w:p>
            <w:pPr>
              <w:pStyle w:val="TableParagraph"/>
              <w:spacing w:before="30"/>
              <w:ind w:left="89"/>
              <w:jc w:val="center"/>
              <w:rPr>
                <w:b/>
                <w:sz w:val="14"/>
              </w:rPr>
            </w:pPr>
            <w:r>
              <w:rPr>
                <w:b/>
                <w:sz w:val="14"/>
              </w:rPr>
              <w:t>-</w:t>
            </w:r>
            <w:r>
              <w:rPr>
                <w:b/>
                <w:spacing w:val="-2"/>
                <w:sz w:val="14"/>
              </w:rPr>
              <w:t>71.070.604,00</w:t>
            </w:r>
          </w:p>
        </w:tc>
        <w:tc>
          <w:tcPr>
            <w:tcW w:w="1055" w:type="dxa"/>
          </w:tcPr>
          <w:p>
            <w:pPr>
              <w:pStyle w:val="TableParagraph"/>
              <w:spacing w:before="30"/>
              <w:ind w:left="72"/>
              <w:jc w:val="center"/>
              <w:rPr>
                <w:b/>
                <w:sz w:val="14"/>
              </w:rPr>
            </w:pPr>
            <w:r>
              <w:rPr>
                <w:b/>
                <w:sz w:val="14"/>
              </w:rPr>
              <w:t>-</w:t>
            </w:r>
            <w:r>
              <w:rPr>
                <w:b/>
                <w:spacing w:val="-2"/>
                <w:sz w:val="14"/>
              </w:rPr>
              <w:t>48.411.000,00</w:t>
            </w:r>
          </w:p>
        </w:tc>
        <w:tc>
          <w:tcPr>
            <w:tcW w:w="1181" w:type="dxa"/>
          </w:tcPr>
          <w:p>
            <w:pPr>
              <w:pStyle w:val="TableParagraph"/>
              <w:spacing w:before="30"/>
              <w:ind w:left="129"/>
              <w:jc w:val="center"/>
              <w:rPr>
                <w:b/>
                <w:sz w:val="14"/>
              </w:rPr>
            </w:pPr>
            <w:r>
              <w:rPr>
                <w:b/>
                <w:sz w:val="14"/>
              </w:rPr>
              <w:t>-</w:t>
            </w:r>
            <w:r>
              <w:rPr>
                <w:b/>
                <w:spacing w:val="-2"/>
                <w:sz w:val="14"/>
              </w:rPr>
              <w:t>160.000.000,00</w:t>
            </w:r>
          </w:p>
        </w:tc>
        <w:tc>
          <w:tcPr>
            <w:tcW w:w="1085" w:type="dxa"/>
          </w:tcPr>
          <w:p>
            <w:pPr>
              <w:pStyle w:val="TableParagraph"/>
              <w:spacing w:before="30"/>
              <w:ind w:right="58"/>
              <w:jc w:val="right"/>
              <w:rPr>
                <w:b/>
                <w:sz w:val="14"/>
              </w:rPr>
            </w:pPr>
            <w:r>
              <w:rPr>
                <w:b/>
                <w:sz w:val="14"/>
              </w:rPr>
              <w:t>-</w:t>
            </w:r>
            <w:r>
              <w:rPr>
                <w:b/>
                <w:spacing w:val="-2"/>
                <w:sz w:val="14"/>
              </w:rPr>
              <w:t>100.000.000,00</w:t>
            </w:r>
          </w:p>
        </w:tc>
        <w:tc>
          <w:tcPr>
            <w:tcW w:w="871" w:type="dxa"/>
          </w:tcPr>
          <w:p>
            <w:pPr>
              <w:pStyle w:val="TableParagraph"/>
              <w:spacing w:before="30"/>
              <w:ind w:left="64"/>
              <w:jc w:val="center"/>
              <w:rPr>
                <w:b/>
                <w:sz w:val="14"/>
              </w:rPr>
            </w:pPr>
            <w:r>
              <w:rPr>
                <w:b/>
                <w:sz w:val="14"/>
              </w:rPr>
              <w:t>-</w:t>
            </w:r>
            <w:r>
              <w:rPr>
                <w:b/>
                <w:spacing w:val="-2"/>
                <w:sz w:val="14"/>
              </w:rPr>
              <w:t>406.972,00</w:t>
            </w:r>
          </w:p>
        </w:tc>
        <w:tc>
          <w:tcPr>
            <w:tcW w:w="992" w:type="dxa"/>
          </w:tcPr>
          <w:p>
            <w:pPr>
              <w:pStyle w:val="TableParagraph"/>
              <w:spacing w:before="30"/>
              <w:ind w:right="58"/>
              <w:jc w:val="right"/>
              <w:rPr>
                <w:b/>
                <w:sz w:val="14"/>
              </w:rPr>
            </w:pPr>
            <w:r>
              <w:rPr>
                <w:b/>
                <w:sz w:val="14"/>
              </w:rPr>
              <w:t>-</w:t>
            </w:r>
            <w:r>
              <w:rPr>
                <w:b/>
                <w:spacing w:val="-2"/>
                <w:sz w:val="14"/>
              </w:rPr>
              <w:t>1.060.489,00</w:t>
            </w:r>
          </w:p>
        </w:tc>
        <w:tc>
          <w:tcPr>
            <w:tcW w:w="1102" w:type="dxa"/>
          </w:tcPr>
          <w:p>
            <w:pPr>
              <w:pStyle w:val="TableParagraph"/>
              <w:spacing w:before="30"/>
              <w:ind w:right="57"/>
              <w:jc w:val="right"/>
              <w:rPr>
                <w:b/>
                <w:sz w:val="14"/>
              </w:rPr>
            </w:pPr>
            <w:r>
              <w:rPr>
                <w:b/>
                <w:sz w:val="14"/>
              </w:rPr>
              <w:t>-</w:t>
            </w:r>
            <w:r>
              <w:rPr>
                <w:b/>
                <w:spacing w:val="-2"/>
                <w:sz w:val="14"/>
              </w:rPr>
              <w:t>459.707.065,00</w:t>
            </w:r>
          </w:p>
        </w:tc>
      </w:tr>
    </w:tbl>
    <w:p>
      <w:pPr>
        <w:pStyle w:val="BodyText"/>
        <w:spacing w:before="6"/>
      </w:pPr>
    </w:p>
    <w:p>
      <w:pPr>
        <w:pStyle w:val="BodyText"/>
        <w:spacing w:line="247" w:lineRule="auto"/>
        <w:ind w:left="995" w:right="825"/>
        <w:jc w:val="both"/>
      </w:pPr>
      <w:r>
        <w:rPr/>
        <w:t>El 24 de julio de 2014 se formalizó un contrato de préstamo participativo con los accionistas de la Sociedad por</w:t>
      </w:r>
      <w:r>
        <w:rPr>
          <w:spacing w:val="-2"/>
        </w:rPr>
        <w:t> </w:t>
      </w:r>
      <w:r>
        <w:rPr/>
        <w:t>un importe</w:t>
      </w:r>
      <w:r>
        <w:rPr>
          <w:spacing w:val="-1"/>
        </w:rPr>
        <w:t> </w:t>
      </w:r>
      <w:r>
        <w:rPr/>
        <w:t>de</w:t>
      </w:r>
      <w:r>
        <w:rPr>
          <w:spacing w:val="-4"/>
        </w:rPr>
        <w:t> </w:t>
      </w:r>
      <w:r>
        <w:rPr/>
        <w:t>8.500.000 euros</w:t>
      </w:r>
      <w:r>
        <w:rPr>
          <w:spacing w:val="-1"/>
        </w:rPr>
        <w:t> </w:t>
      </w:r>
      <w:r>
        <w:rPr/>
        <w:t>(con vencimiento de</w:t>
      </w:r>
      <w:r>
        <w:rPr>
          <w:spacing w:val="-1"/>
        </w:rPr>
        <w:t> </w:t>
      </w:r>
      <w:r>
        <w:rPr/>
        <w:t>principal e</w:t>
      </w:r>
      <w:r>
        <w:rPr>
          <w:spacing w:val="-1"/>
        </w:rPr>
        <w:t> </w:t>
      </w:r>
      <w:r>
        <w:rPr/>
        <w:t>intereses el 31 de</w:t>
      </w:r>
      <w:r>
        <w:rPr>
          <w:spacing w:val="-1"/>
        </w:rPr>
        <w:t> </w:t>
      </w:r>
      <w:r>
        <w:rPr/>
        <w:t>marzo de 2017). La</w:t>
      </w:r>
      <w:r>
        <w:rPr>
          <w:spacing w:val="-1"/>
        </w:rPr>
        <w:t> </w:t>
      </w:r>
      <w:r>
        <w:rPr/>
        <w:t>cláusula séptima de dicho préstamo contemplaba una posible</w:t>
      </w:r>
      <w:r>
        <w:rPr>
          <w:spacing w:val="-1"/>
        </w:rPr>
        <w:t> </w:t>
      </w:r>
      <w:r>
        <w:rPr/>
        <w:t>prórroga por tres años que fue acordada con fecha 10 de julio de 2017, habiéndose prorrogado el vencimiento del préstamo participativo al</w:t>
      </w:r>
      <w:r>
        <w:rPr>
          <w:spacing w:val="-2"/>
        </w:rPr>
        <w:t> </w:t>
      </w:r>
      <w:r>
        <w:rPr/>
        <w:t>31 de</w:t>
      </w:r>
      <w:r>
        <w:rPr>
          <w:spacing w:val="-2"/>
        </w:rPr>
        <w:t> </w:t>
      </w:r>
      <w:r>
        <w:rPr/>
        <w:t>marzo</w:t>
      </w:r>
      <w:r>
        <w:rPr>
          <w:spacing w:val="-2"/>
        </w:rPr>
        <w:t> </w:t>
      </w:r>
      <w:r>
        <w:rPr/>
        <w:t>de 2020. Con fecha 13</w:t>
      </w:r>
      <w:r>
        <w:rPr>
          <w:spacing w:val="-2"/>
        </w:rPr>
        <w:t> </w:t>
      </w:r>
      <w:r>
        <w:rPr/>
        <w:t>de</w:t>
      </w:r>
      <w:r>
        <w:rPr>
          <w:spacing w:val="-3"/>
        </w:rPr>
        <w:t> </w:t>
      </w:r>
      <w:r>
        <w:rPr/>
        <w:t>julio de</w:t>
      </w:r>
      <w:r>
        <w:rPr>
          <w:spacing w:val="-3"/>
        </w:rPr>
        <w:t> </w:t>
      </w:r>
      <w:r>
        <w:rPr/>
        <w:t>2020 se</w:t>
      </w:r>
      <w:r>
        <w:rPr>
          <w:spacing w:val="-2"/>
        </w:rPr>
        <w:t> </w:t>
      </w:r>
      <w:r>
        <w:rPr/>
        <w:t>formalizó la novación</w:t>
      </w:r>
      <w:r>
        <w:rPr>
          <w:spacing w:val="-1"/>
        </w:rPr>
        <w:t> </w:t>
      </w:r>
      <w:r>
        <w:rPr/>
        <w:t>de este, el</w:t>
      </w:r>
      <w:r>
        <w:rPr>
          <w:spacing w:val="-5"/>
        </w:rPr>
        <w:t> </w:t>
      </w:r>
      <w:r>
        <w:rPr/>
        <w:t>vencimiento</w:t>
      </w:r>
      <w:r>
        <w:rPr>
          <w:spacing w:val="-6"/>
        </w:rPr>
        <w:t> </w:t>
      </w:r>
      <w:r>
        <w:rPr/>
        <w:t>final</w:t>
      </w:r>
      <w:r>
        <w:rPr>
          <w:spacing w:val="-5"/>
        </w:rPr>
        <w:t> </w:t>
      </w:r>
      <w:r>
        <w:rPr/>
        <w:t>se</w:t>
      </w:r>
      <w:r>
        <w:rPr>
          <w:spacing w:val="-5"/>
        </w:rPr>
        <w:t> </w:t>
      </w:r>
      <w:r>
        <w:rPr/>
        <w:t>establece</w:t>
      </w:r>
      <w:r>
        <w:rPr>
          <w:spacing w:val="-5"/>
        </w:rPr>
        <w:t> </w:t>
      </w:r>
      <w:r>
        <w:rPr/>
        <w:t>el</w:t>
      </w:r>
      <w:r>
        <w:rPr>
          <w:spacing w:val="-5"/>
        </w:rPr>
        <w:t> </w:t>
      </w:r>
      <w:r>
        <w:rPr/>
        <w:t>30</w:t>
      </w:r>
      <w:r>
        <w:rPr>
          <w:spacing w:val="-5"/>
        </w:rPr>
        <w:t> </w:t>
      </w:r>
      <w:r>
        <w:rPr/>
        <w:t>de</w:t>
      </w:r>
      <w:r>
        <w:rPr>
          <w:spacing w:val="-4"/>
        </w:rPr>
        <w:t> </w:t>
      </w:r>
      <w:r>
        <w:rPr/>
        <w:t>junio</w:t>
      </w:r>
      <w:r>
        <w:rPr>
          <w:spacing w:val="-6"/>
        </w:rPr>
        <w:t> </w:t>
      </w:r>
      <w:r>
        <w:rPr/>
        <w:t>de</w:t>
      </w:r>
      <w:r>
        <w:rPr>
          <w:spacing w:val="-5"/>
        </w:rPr>
        <w:t> </w:t>
      </w:r>
      <w:r>
        <w:rPr/>
        <w:t>2025. En mayo de 2025, se formalizó una prórroga </w:t>
      </w:r>
      <w:r>
        <w:rPr>
          <w:spacing w:val="-4"/>
        </w:rPr>
        <w:t>de</w:t>
      </w:r>
      <w:r>
        <w:rPr>
          <w:spacing w:val="-10"/>
        </w:rPr>
        <w:t> </w:t>
      </w:r>
      <w:r>
        <w:rPr>
          <w:spacing w:val="-4"/>
        </w:rPr>
        <w:t>la</w:t>
      </w:r>
      <w:r>
        <w:rPr>
          <w:spacing w:val="-10"/>
        </w:rPr>
        <w:t> </w:t>
      </w:r>
      <w:r>
        <w:rPr>
          <w:spacing w:val="-4"/>
        </w:rPr>
        <w:t>novación</w:t>
      </w:r>
      <w:r>
        <w:rPr>
          <w:spacing w:val="-10"/>
        </w:rPr>
        <w:t> </w:t>
      </w:r>
      <w:r>
        <w:rPr>
          <w:spacing w:val="-4"/>
        </w:rPr>
        <w:t>del contrato de préstamo participativo mencionada anteriormente,</w:t>
      </w:r>
      <w:r>
        <w:rPr>
          <w:spacing w:val="7"/>
        </w:rPr>
        <w:t> </w:t>
      </w:r>
      <w:r>
        <w:rPr>
          <w:spacing w:val="-4"/>
        </w:rPr>
        <w:t>estableciendo</w:t>
      </w:r>
      <w:r>
        <w:rPr>
          <w:spacing w:val="-10"/>
        </w:rPr>
        <w:t> </w:t>
      </w:r>
      <w:r>
        <w:rPr>
          <w:spacing w:val="-4"/>
        </w:rPr>
        <w:t>una</w:t>
      </w:r>
      <w:r>
        <w:rPr>
          <w:spacing w:val="-10"/>
        </w:rPr>
        <w:t> </w:t>
      </w:r>
      <w:r>
        <w:rPr>
          <w:spacing w:val="-4"/>
        </w:rPr>
        <w:t>nueva fecha</w:t>
      </w:r>
      <w:r>
        <w:rPr>
          <w:spacing w:val="-10"/>
        </w:rPr>
        <w:t> </w:t>
      </w:r>
      <w:r>
        <w:rPr>
          <w:spacing w:val="-4"/>
        </w:rPr>
        <w:t>de</w:t>
      </w:r>
      <w:r>
        <w:rPr>
          <w:spacing w:val="-10"/>
        </w:rPr>
        <w:t> </w:t>
      </w:r>
      <w:r>
        <w:rPr>
          <w:spacing w:val="-4"/>
        </w:rPr>
        <w:t>vencimiento</w:t>
      </w:r>
      <w:r>
        <w:rPr>
          <w:spacing w:val="-10"/>
        </w:rPr>
        <w:t> </w:t>
      </w:r>
      <w:r>
        <w:rPr>
          <w:spacing w:val="-4"/>
        </w:rPr>
        <w:t>hasta</w:t>
      </w:r>
      <w:r>
        <w:rPr>
          <w:spacing w:val="-9"/>
        </w:rPr>
        <w:t> </w:t>
      </w:r>
      <w:r>
        <w:rPr>
          <w:spacing w:val="-4"/>
        </w:rPr>
        <w:t>el</w:t>
      </w:r>
      <w:r>
        <w:rPr>
          <w:spacing w:val="-10"/>
        </w:rPr>
        <w:t> </w:t>
      </w:r>
      <w:r>
        <w:rPr>
          <w:spacing w:val="-4"/>
        </w:rPr>
        <w:t>30</w:t>
      </w:r>
      <w:r>
        <w:rPr>
          <w:spacing w:val="-10"/>
        </w:rPr>
        <w:t> </w:t>
      </w:r>
      <w:r>
        <w:rPr>
          <w:spacing w:val="-4"/>
        </w:rPr>
        <w:t>de</w:t>
      </w:r>
      <w:r>
        <w:rPr>
          <w:spacing w:val="-10"/>
        </w:rPr>
        <w:t> </w:t>
      </w:r>
      <w:r>
        <w:rPr>
          <w:spacing w:val="-4"/>
        </w:rPr>
        <w:t>junio</w:t>
      </w:r>
      <w:r>
        <w:rPr>
          <w:spacing w:val="-9"/>
        </w:rPr>
        <w:t> </w:t>
      </w:r>
      <w:r>
        <w:rPr>
          <w:spacing w:val="-4"/>
        </w:rPr>
        <w:t>de</w:t>
      </w:r>
      <w:r>
        <w:rPr>
          <w:spacing w:val="-10"/>
        </w:rPr>
        <w:t> </w:t>
      </w:r>
      <w:r>
        <w:rPr>
          <w:spacing w:val="-4"/>
        </w:rPr>
        <w:t>2028.</w:t>
      </w:r>
      <w:r>
        <w:rPr>
          <w:spacing w:val="-10"/>
        </w:rPr>
        <w:t> </w:t>
      </w:r>
      <w:r>
        <w:rPr>
          <w:spacing w:val="-4"/>
        </w:rPr>
        <w:t>Asimismo,</w:t>
      </w:r>
      <w:r>
        <w:rPr>
          <w:spacing w:val="-10"/>
        </w:rPr>
        <w:t> </w:t>
      </w:r>
      <w:r>
        <w:rPr>
          <w:spacing w:val="-4"/>
        </w:rPr>
        <w:t>fue</w:t>
      </w:r>
      <w:r>
        <w:rPr>
          <w:spacing w:val="-9"/>
        </w:rPr>
        <w:t> </w:t>
      </w:r>
      <w:r>
        <w:rPr>
          <w:spacing w:val="-4"/>
        </w:rPr>
        <w:t>modificada</w:t>
      </w:r>
      <w:r>
        <w:rPr>
          <w:spacing w:val="-10"/>
        </w:rPr>
        <w:t> </w:t>
      </w:r>
      <w:r>
        <w:rPr>
          <w:spacing w:val="-4"/>
        </w:rPr>
        <w:t>la</w:t>
      </w:r>
      <w:r>
        <w:rPr>
          <w:spacing w:val="-10"/>
        </w:rPr>
        <w:t> </w:t>
      </w:r>
      <w:r>
        <w:rPr>
          <w:spacing w:val="-4"/>
        </w:rPr>
        <w:t>cláusula</w:t>
      </w:r>
      <w:r>
        <w:rPr>
          <w:spacing w:val="-10"/>
        </w:rPr>
        <w:t> </w:t>
      </w:r>
      <w:r>
        <w:rPr>
          <w:spacing w:val="-4"/>
        </w:rPr>
        <w:t>séptima</w:t>
      </w:r>
      <w:r>
        <w:rPr>
          <w:spacing w:val="-1"/>
        </w:rPr>
        <w:t> </w:t>
      </w:r>
      <w:r>
        <w:rPr>
          <w:spacing w:val="-4"/>
        </w:rPr>
        <w:t>referente </w:t>
      </w:r>
      <w:r>
        <w:rPr/>
        <w:t>al vencimiento del préstamo que quedó redactada en los siguientes términos: “La amortización del préstamo se llevará a efecto conforme la Sociedad vaya disponiendo de fondos obtenidos como consecuencia</w:t>
      </w:r>
      <w:r>
        <w:rPr>
          <w:spacing w:val="-1"/>
        </w:rPr>
        <w:t> </w:t>
      </w:r>
      <w:r>
        <w:rPr/>
        <w:t>del</w:t>
      </w:r>
      <w:r>
        <w:rPr>
          <w:spacing w:val="-2"/>
        </w:rPr>
        <w:t> </w:t>
      </w:r>
      <w:r>
        <w:rPr/>
        <w:t>desarrollo</w:t>
      </w:r>
      <w:r>
        <w:rPr>
          <w:spacing w:val="-1"/>
        </w:rPr>
        <w:t> </w:t>
      </w:r>
      <w:r>
        <w:rPr/>
        <w:t>urbanístico</w:t>
      </w:r>
      <w:r>
        <w:rPr>
          <w:spacing w:val="-2"/>
        </w:rPr>
        <w:t> </w:t>
      </w:r>
      <w:r>
        <w:rPr/>
        <w:t>del ámbito</w:t>
      </w:r>
      <w:r>
        <w:rPr>
          <w:spacing w:val="-1"/>
        </w:rPr>
        <w:t> </w:t>
      </w:r>
      <w:r>
        <w:rPr/>
        <w:t>de</w:t>
      </w:r>
      <w:r>
        <w:rPr>
          <w:spacing w:val="-1"/>
        </w:rPr>
        <w:t> </w:t>
      </w:r>
      <w:r>
        <w:rPr/>
        <w:t>actuación.</w:t>
      </w:r>
      <w:r>
        <w:rPr>
          <w:spacing w:val="-1"/>
        </w:rPr>
        <w:t> </w:t>
      </w:r>
      <w:r>
        <w:rPr/>
        <w:t>Esta</w:t>
      </w:r>
      <w:r>
        <w:rPr>
          <w:spacing w:val="-1"/>
        </w:rPr>
        <w:t> </w:t>
      </w:r>
      <w:r>
        <w:rPr/>
        <w:t>amortización se realizará en un plazo máximo de un mes desde que se perciban los citados fondos por la Sociedad, distribuyéndose entre los prestamistas en proporción a las cantidades desembolsadas por cada uno de ellos. Si llegada la fecha del vencimiento del préstamo la Sociedad no hubiera obtenido suficientes fondos para cubrir el</w:t>
      </w:r>
      <w:r>
        <w:rPr>
          <w:spacing w:val="-6"/>
        </w:rPr>
        <w:t> </w:t>
      </w:r>
      <w:r>
        <w:rPr/>
        <w:t>importe</w:t>
      </w:r>
      <w:r>
        <w:rPr>
          <w:spacing w:val="-6"/>
        </w:rPr>
        <w:t> </w:t>
      </w:r>
      <w:r>
        <w:rPr/>
        <w:t>total</w:t>
      </w:r>
      <w:r>
        <w:rPr>
          <w:spacing w:val="-6"/>
        </w:rPr>
        <w:t> </w:t>
      </w:r>
      <w:r>
        <w:rPr/>
        <w:t>del</w:t>
      </w:r>
      <w:r>
        <w:rPr>
          <w:spacing w:val="-5"/>
        </w:rPr>
        <w:t> </w:t>
      </w:r>
      <w:r>
        <w:rPr/>
        <w:t>mismo,</w:t>
      </w:r>
      <w:r>
        <w:rPr>
          <w:spacing w:val="-4"/>
        </w:rPr>
        <w:t> </w:t>
      </w:r>
      <w:r>
        <w:rPr/>
        <w:t>éste</w:t>
      </w:r>
      <w:r>
        <w:rPr>
          <w:spacing w:val="-7"/>
        </w:rPr>
        <w:t> </w:t>
      </w:r>
      <w:r>
        <w:rPr/>
        <w:t>se</w:t>
      </w:r>
      <w:r>
        <w:rPr>
          <w:spacing w:val="-6"/>
        </w:rPr>
        <w:t> </w:t>
      </w:r>
      <w:r>
        <w:rPr/>
        <w:t>considerará</w:t>
      </w:r>
      <w:r>
        <w:rPr>
          <w:spacing w:val="-6"/>
        </w:rPr>
        <w:t> </w:t>
      </w:r>
      <w:r>
        <w:rPr/>
        <w:t>vencido,</w:t>
      </w:r>
      <w:r>
        <w:rPr>
          <w:spacing w:val="-6"/>
        </w:rPr>
        <w:t> </w:t>
      </w:r>
      <w:r>
        <w:rPr/>
        <w:t>pudiendo</w:t>
      </w:r>
      <w:r>
        <w:rPr>
          <w:spacing w:val="-7"/>
        </w:rPr>
        <w:t> </w:t>
      </w:r>
      <w:r>
        <w:rPr/>
        <w:t>no</w:t>
      </w:r>
      <w:r>
        <w:rPr>
          <w:spacing w:val="-6"/>
        </w:rPr>
        <w:t> </w:t>
      </w:r>
      <w:r>
        <w:rPr/>
        <w:t>obstante</w:t>
      </w:r>
      <w:r>
        <w:rPr>
          <w:spacing w:val="-6"/>
        </w:rPr>
        <w:t> </w:t>
      </w:r>
      <w:r>
        <w:rPr/>
        <w:t>los</w:t>
      </w:r>
      <w:r>
        <w:rPr>
          <w:spacing w:val="-7"/>
        </w:rPr>
        <w:t> </w:t>
      </w:r>
      <w:r>
        <w:rPr/>
        <w:t>prestamistas</w:t>
      </w:r>
      <w:r>
        <w:rPr>
          <w:spacing w:val="-5"/>
        </w:rPr>
        <w:t> </w:t>
      </w:r>
      <w:r>
        <w:rPr/>
        <w:t>acordar su prórroga por un plazo máximo de tres años. El desembolso se efectuó de forma</w:t>
      </w:r>
      <w:r>
        <w:rPr>
          <w:spacing w:val="-8"/>
        </w:rPr>
        <w:t> </w:t>
      </w:r>
      <w:r>
        <w:rPr/>
        <w:t>mancomunada</w:t>
      </w:r>
      <w:r>
        <w:rPr>
          <w:spacing w:val="-8"/>
        </w:rPr>
        <w:t> </w:t>
      </w:r>
      <w:r>
        <w:rPr/>
        <w:t>por </w:t>
      </w:r>
      <w:r>
        <w:rPr>
          <w:spacing w:val="-4"/>
        </w:rPr>
        <w:t>cada</w:t>
      </w:r>
      <w:r>
        <w:rPr>
          <w:spacing w:val="-10"/>
        </w:rPr>
        <w:t> </w:t>
      </w:r>
      <w:r>
        <w:rPr>
          <w:spacing w:val="-4"/>
        </w:rPr>
        <w:t>uno</w:t>
      </w:r>
      <w:r>
        <w:rPr>
          <w:spacing w:val="-10"/>
        </w:rPr>
        <w:t> </w:t>
      </w:r>
      <w:r>
        <w:rPr>
          <w:spacing w:val="-4"/>
        </w:rPr>
        <w:t>de</w:t>
      </w:r>
      <w:r>
        <w:rPr>
          <w:spacing w:val="-10"/>
        </w:rPr>
        <w:t> </w:t>
      </w:r>
      <w:r>
        <w:rPr>
          <w:spacing w:val="-4"/>
        </w:rPr>
        <w:t>los</w:t>
      </w:r>
      <w:r>
        <w:rPr>
          <w:spacing w:val="-9"/>
        </w:rPr>
        <w:t> </w:t>
      </w:r>
      <w:r>
        <w:rPr>
          <w:spacing w:val="-4"/>
        </w:rPr>
        <w:t>accionistas</w:t>
      </w:r>
      <w:r>
        <w:rPr>
          <w:spacing w:val="-10"/>
        </w:rPr>
        <w:t> </w:t>
      </w:r>
      <w:r>
        <w:rPr>
          <w:spacing w:val="-4"/>
        </w:rPr>
        <w:t>(ADIF</w:t>
      </w:r>
      <w:r>
        <w:rPr>
          <w:spacing w:val="-10"/>
        </w:rPr>
        <w:t> </w:t>
      </w:r>
      <w:r>
        <w:rPr>
          <w:spacing w:val="-4"/>
        </w:rPr>
        <w:t>–</w:t>
      </w:r>
      <w:r>
        <w:rPr>
          <w:spacing w:val="-10"/>
        </w:rPr>
        <w:t> </w:t>
      </w:r>
      <w:r>
        <w:rPr>
          <w:spacing w:val="-4"/>
        </w:rPr>
        <w:t>Alta</w:t>
      </w:r>
      <w:r>
        <w:rPr>
          <w:spacing w:val="-9"/>
        </w:rPr>
        <w:t> </w:t>
      </w:r>
      <w:r>
        <w:rPr>
          <w:spacing w:val="-4"/>
        </w:rPr>
        <w:t>Velocidad,</w:t>
      </w:r>
      <w:r>
        <w:rPr>
          <w:spacing w:val="-10"/>
        </w:rPr>
        <w:t> </w:t>
      </w:r>
      <w:r>
        <w:rPr>
          <w:spacing w:val="-4"/>
        </w:rPr>
        <w:t>Consejería</w:t>
      </w:r>
      <w:r>
        <w:rPr>
          <w:spacing w:val="-10"/>
        </w:rPr>
        <w:t> </w:t>
      </w:r>
      <w:r>
        <w:rPr>
          <w:spacing w:val="-4"/>
        </w:rPr>
        <w:t>de</w:t>
      </w:r>
      <w:r>
        <w:rPr>
          <w:spacing w:val="-10"/>
        </w:rPr>
        <w:t> </w:t>
      </w:r>
      <w:r>
        <w:rPr>
          <w:spacing w:val="-4"/>
        </w:rPr>
        <w:t>Fomento,</w:t>
      </w:r>
      <w:r>
        <w:rPr>
          <w:spacing w:val="-9"/>
        </w:rPr>
        <w:t> </w:t>
      </w:r>
      <w:r>
        <w:rPr>
          <w:spacing w:val="-4"/>
        </w:rPr>
        <w:t>Obras</w:t>
      </w:r>
      <w:r>
        <w:rPr>
          <w:spacing w:val="-10"/>
        </w:rPr>
        <w:t> </w:t>
      </w:r>
      <w:r>
        <w:rPr>
          <w:spacing w:val="-4"/>
        </w:rPr>
        <w:t>Públicas</w:t>
      </w:r>
      <w:r>
        <w:rPr>
          <w:spacing w:val="-10"/>
        </w:rPr>
        <w:t> </w:t>
      </w:r>
      <w:r>
        <w:rPr>
          <w:spacing w:val="-4"/>
        </w:rPr>
        <w:t>y</w:t>
      </w:r>
      <w:r>
        <w:rPr>
          <w:spacing w:val="-10"/>
        </w:rPr>
        <w:t> </w:t>
      </w:r>
      <w:r>
        <w:rPr>
          <w:spacing w:val="-4"/>
        </w:rPr>
        <w:t>Ordenación </w:t>
      </w:r>
      <w:r>
        <w:rPr/>
        <w:t>del Territorio de la Comunidad Autónoma de la Región de Murcia, Excmo. Ayuntamiento</w:t>
      </w:r>
      <w:r>
        <w:rPr>
          <w:spacing w:val="-2"/>
        </w:rPr>
        <w:t> </w:t>
      </w:r>
      <w:r>
        <w:rPr/>
        <w:t>de</w:t>
      </w:r>
      <w:r>
        <w:rPr>
          <w:spacing w:val="-4"/>
        </w:rPr>
        <w:t> </w:t>
      </w:r>
      <w:r>
        <w:rPr/>
        <w:t>Murcia y Administrador de Infraestructuras Ferroviarias). El préstamo devenga intereses a tipo fijo del 3,5% si la Sociedad incurre en resultados positivos después de impuestos, una vez considerados los gastos financieros</w:t>
      </w:r>
      <w:r>
        <w:rPr>
          <w:spacing w:val="-13"/>
        </w:rPr>
        <w:t> </w:t>
      </w:r>
      <w:r>
        <w:rPr/>
        <w:t>devengados</w:t>
      </w:r>
      <w:r>
        <w:rPr>
          <w:spacing w:val="-10"/>
        </w:rPr>
        <w:t> </w:t>
      </w:r>
      <w:r>
        <w:rPr/>
        <w:t>por</w:t>
      </w:r>
      <w:r>
        <w:rPr>
          <w:spacing w:val="-11"/>
        </w:rPr>
        <w:t> </w:t>
      </w:r>
      <w:r>
        <w:rPr/>
        <w:t>el</w:t>
      </w:r>
      <w:r>
        <w:rPr>
          <w:spacing w:val="-11"/>
        </w:rPr>
        <w:t> </w:t>
      </w:r>
      <w:r>
        <w:rPr/>
        <w:t>mencionado</w:t>
      </w:r>
      <w:r>
        <w:rPr>
          <w:spacing w:val="-11"/>
        </w:rPr>
        <w:t> </w:t>
      </w:r>
      <w:r>
        <w:rPr/>
        <w:t>préstamo</w:t>
      </w:r>
      <w:r>
        <w:rPr>
          <w:spacing w:val="-11"/>
        </w:rPr>
        <w:t> </w:t>
      </w:r>
      <w:r>
        <w:rPr/>
        <w:t>participativo.</w:t>
      </w:r>
      <w:r>
        <w:rPr>
          <w:spacing w:val="-10"/>
        </w:rPr>
        <w:t> </w:t>
      </w:r>
      <w:r>
        <w:rPr/>
        <w:t>En</w:t>
      </w:r>
      <w:r>
        <w:rPr>
          <w:spacing w:val="-14"/>
        </w:rPr>
        <w:t> </w:t>
      </w:r>
      <w:r>
        <w:rPr/>
        <w:t>el</w:t>
      </w:r>
      <w:r>
        <w:rPr>
          <w:spacing w:val="-13"/>
        </w:rPr>
        <w:t> </w:t>
      </w:r>
      <w:r>
        <w:rPr/>
        <w:t>caso</w:t>
      </w:r>
      <w:r>
        <w:rPr>
          <w:spacing w:val="-14"/>
        </w:rPr>
        <w:t> </w:t>
      </w:r>
      <w:r>
        <w:rPr/>
        <w:t>de</w:t>
      </w:r>
      <w:r>
        <w:rPr>
          <w:spacing w:val="-14"/>
        </w:rPr>
        <w:t> </w:t>
      </w:r>
      <w:r>
        <w:rPr/>
        <w:t>que</w:t>
      </w:r>
      <w:r>
        <w:rPr>
          <w:spacing w:val="-14"/>
        </w:rPr>
        <w:t> </w:t>
      </w:r>
      <w:r>
        <w:rPr/>
        <w:t>la</w:t>
      </w:r>
      <w:r>
        <w:rPr>
          <w:spacing w:val="-13"/>
        </w:rPr>
        <w:t> </w:t>
      </w:r>
      <w:r>
        <w:rPr/>
        <w:t>rentabilidad</w:t>
      </w:r>
      <w:r>
        <w:rPr>
          <w:spacing w:val="-14"/>
        </w:rPr>
        <w:t> </w:t>
      </w:r>
      <w:r>
        <w:rPr/>
        <w:t>del capital de la sociedad, definida como el cociente entre el beneficio después de impuestos, una vez considerados los gastos financieros devengados por el presente préstamo participativo, y el capital desembolsado, fuese superior al 5%, se incrementara la tasa indicada anterior (3,5%) en el margen porcentual</w:t>
      </w:r>
      <w:r>
        <w:rPr>
          <w:spacing w:val="-11"/>
        </w:rPr>
        <w:t> </w:t>
      </w:r>
      <w:r>
        <w:rPr/>
        <w:t>que</w:t>
      </w:r>
      <w:r>
        <w:rPr>
          <w:spacing w:val="-11"/>
        </w:rPr>
        <w:t> </w:t>
      </w:r>
      <w:r>
        <w:rPr/>
        <w:t>se</w:t>
      </w:r>
      <w:r>
        <w:rPr>
          <w:spacing w:val="-11"/>
        </w:rPr>
        <w:t> </w:t>
      </w:r>
      <w:r>
        <w:rPr/>
        <w:t>obtenga</w:t>
      </w:r>
      <w:r>
        <w:rPr>
          <w:spacing w:val="-11"/>
        </w:rPr>
        <w:t> </w:t>
      </w:r>
      <w:r>
        <w:rPr/>
        <w:t>de</w:t>
      </w:r>
      <w:r>
        <w:rPr>
          <w:spacing w:val="-11"/>
        </w:rPr>
        <w:t> </w:t>
      </w:r>
      <w:r>
        <w:rPr/>
        <w:t>la</w:t>
      </w:r>
      <w:r>
        <w:rPr>
          <w:spacing w:val="-10"/>
        </w:rPr>
        <w:t> </w:t>
      </w:r>
      <w:r>
        <w:rPr/>
        <w:t>siguiente</w:t>
      </w:r>
      <w:r>
        <w:rPr>
          <w:spacing w:val="-10"/>
        </w:rPr>
        <w:t> </w:t>
      </w:r>
      <w:r>
        <w:rPr/>
        <w:t>fórmula:</w:t>
      </w:r>
      <w:r>
        <w:rPr>
          <w:spacing w:val="-10"/>
        </w:rPr>
        <w:t> </w:t>
      </w:r>
      <w:r>
        <w:rPr/>
        <w:t>(beneficio</w:t>
      </w:r>
      <w:r>
        <w:rPr>
          <w:spacing w:val="-10"/>
        </w:rPr>
        <w:t> </w:t>
      </w:r>
      <w:r>
        <w:rPr/>
        <w:t>antes</w:t>
      </w:r>
      <w:r>
        <w:rPr>
          <w:spacing w:val="-10"/>
        </w:rPr>
        <w:t> </w:t>
      </w:r>
      <w:r>
        <w:rPr/>
        <w:t>de</w:t>
      </w:r>
      <w:r>
        <w:rPr>
          <w:spacing w:val="-10"/>
        </w:rPr>
        <w:t> </w:t>
      </w:r>
      <w:r>
        <w:rPr/>
        <w:t>impuestos/capital</w:t>
      </w:r>
      <w:r>
        <w:rPr>
          <w:spacing w:val="-10"/>
        </w:rPr>
        <w:t> </w:t>
      </w:r>
      <w:r>
        <w:rPr/>
        <w:t>social)</w:t>
      </w:r>
      <w:r>
        <w:rPr>
          <w:spacing w:val="-11"/>
        </w:rPr>
        <w:t> </w:t>
      </w:r>
      <w:r>
        <w:rPr/>
        <w:t>x</w:t>
      </w:r>
      <w:r>
        <w:rPr>
          <w:spacing w:val="-11"/>
        </w:rPr>
        <w:t> </w:t>
      </w:r>
      <w:r>
        <w:rPr/>
        <w:t>25%. La</w:t>
      </w:r>
      <w:r>
        <w:rPr>
          <w:spacing w:val="-10"/>
        </w:rPr>
        <w:t> </w:t>
      </w:r>
      <w:r>
        <w:rPr/>
        <w:t>tasa</w:t>
      </w:r>
      <w:r>
        <w:rPr>
          <w:spacing w:val="-10"/>
        </w:rPr>
        <w:t> </w:t>
      </w:r>
      <w:r>
        <w:rPr/>
        <w:t>del</w:t>
      </w:r>
      <w:r>
        <w:rPr>
          <w:spacing w:val="-9"/>
        </w:rPr>
        <w:t> </w:t>
      </w:r>
      <w:r>
        <w:rPr/>
        <w:t>interés</w:t>
      </w:r>
      <w:r>
        <w:rPr>
          <w:spacing w:val="-9"/>
        </w:rPr>
        <w:t> </w:t>
      </w:r>
      <w:r>
        <w:rPr/>
        <w:t>resultante</w:t>
      </w:r>
      <w:r>
        <w:rPr>
          <w:spacing w:val="-9"/>
        </w:rPr>
        <w:t> </w:t>
      </w:r>
      <w:r>
        <w:rPr/>
        <w:t>no</w:t>
      </w:r>
      <w:r>
        <w:rPr>
          <w:spacing w:val="-9"/>
        </w:rPr>
        <w:t> </w:t>
      </w:r>
      <w:r>
        <w:rPr/>
        <w:t>excederá</w:t>
      </w:r>
      <w:r>
        <w:rPr>
          <w:spacing w:val="-9"/>
        </w:rPr>
        <w:t> </w:t>
      </w:r>
      <w:r>
        <w:rPr/>
        <w:t>en</w:t>
      </w:r>
      <w:r>
        <w:rPr>
          <w:spacing w:val="-9"/>
        </w:rPr>
        <w:t> </w:t>
      </w:r>
      <w:r>
        <w:rPr/>
        <w:t>ningún</w:t>
      </w:r>
      <w:r>
        <w:rPr>
          <w:spacing w:val="-9"/>
        </w:rPr>
        <w:t> </w:t>
      </w:r>
      <w:r>
        <w:rPr/>
        <w:t>caso</w:t>
      </w:r>
      <w:r>
        <w:rPr>
          <w:spacing w:val="-9"/>
        </w:rPr>
        <w:t> </w:t>
      </w:r>
      <w:r>
        <w:rPr/>
        <w:t>de</w:t>
      </w:r>
      <w:r>
        <w:rPr>
          <w:spacing w:val="-10"/>
        </w:rPr>
        <w:t> </w:t>
      </w:r>
      <w:r>
        <w:rPr/>
        <w:t>la</w:t>
      </w:r>
      <w:r>
        <w:rPr>
          <w:spacing w:val="-10"/>
        </w:rPr>
        <w:t> </w:t>
      </w:r>
      <w:r>
        <w:rPr/>
        <w:t>tasa</w:t>
      </w:r>
      <w:r>
        <w:rPr>
          <w:spacing w:val="-10"/>
        </w:rPr>
        <w:t> </w:t>
      </w:r>
      <w:r>
        <w:rPr/>
        <w:t>nominal</w:t>
      </w:r>
      <w:r>
        <w:rPr>
          <w:spacing w:val="-8"/>
        </w:rPr>
        <w:t> </w:t>
      </w:r>
      <w:r>
        <w:rPr/>
        <w:t>anual</w:t>
      </w:r>
      <w:r>
        <w:rPr>
          <w:spacing w:val="-9"/>
        </w:rPr>
        <w:t> </w:t>
      </w:r>
      <w:r>
        <w:rPr/>
        <w:t>de</w:t>
      </w:r>
      <w:r>
        <w:rPr>
          <w:spacing w:val="-10"/>
        </w:rPr>
        <w:t> </w:t>
      </w:r>
      <w:r>
        <w:rPr/>
        <w:t>10%.</w:t>
      </w:r>
      <w:r>
        <w:rPr>
          <w:spacing w:val="-7"/>
        </w:rPr>
        <w:t> </w:t>
      </w:r>
      <w:r>
        <w:rPr/>
        <w:t>La</w:t>
      </w:r>
      <w:r>
        <w:rPr>
          <w:spacing w:val="-10"/>
        </w:rPr>
        <w:t> </w:t>
      </w:r>
      <w:r>
        <w:rPr/>
        <w:t>finalidad del préstamo es hacer posible el objeto social de la Sociedad. En el ejercicio 2025, este préstamo participativo</w:t>
      </w:r>
      <w:r>
        <w:rPr>
          <w:spacing w:val="-12"/>
        </w:rPr>
        <w:t> </w:t>
      </w:r>
      <w:r>
        <w:rPr/>
        <w:t>ha</w:t>
      </w:r>
      <w:r>
        <w:rPr>
          <w:spacing w:val="-14"/>
        </w:rPr>
        <w:t> </w:t>
      </w:r>
      <w:r>
        <w:rPr/>
        <w:t>generado</w:t>
      </w:r>
      <w:r>
        <w:rPr>
          <w:spacing w:val="-13"/>
        </w:rPr>
        <w:t> </w:t>
      </w:r>
      <w:r>
        <w:rPr/>
        <w:t>intereses</w:t>
      </w:r>
      <w:r>
        <w:rPr>
          <w:spacing w:val="-14"/>
        </w:rPr>
        <w:t> </w:t>
      </w:r>
      <w:r>
        <w:rPr/>
        <w:t>por</w:t>
      </w:r>
      <w:r>
        <w:rPr>
          <w:spacing w:val="-14"/>
        </w:rPr>
        <w:t> </w:t>
      </w:r>
      <w:r>
        <w:rPr/>
        <w:t>un</w:t>
      </w:r>
      <w:r>
        <w:rPr>
          <w:spacing w:val="-14"/>
        </w:rPr>
        <w:t> </w:t>
      </w:r>
      <w:r>
        <w:rPr/>
        <w:t>importe</w:t>
      </w:r>
      <w:r>
        <w:rPr>
          <w:spacing w:val="-13"/>
        </w:rPr>
        <w:t> </w:t>
      </w:r>
      <w:r>
        <w:rPr/>
        <w:t>de</w:t>
      </w:r>
      <w:r>
        <w:rPr>
          <w:spacing w:val="-13"/>
        </w:rPr>
        <w:t> </w:t>
      </w:r>
      <w:r>
        <w:rPr/>
        <w:t>850.000,00</w:t>
      </w:r>
      <w:r>
        <w:rPr>
          <w:spacing w:val="-13"/>
        </w:rPr>
        <w:t> </w:t>
      </w:r>
      <w:r>
        <w:rPr/>
        <w:t>euros</w:t>
      </w:r>
      <w:r>
        <w:rPr>
          <w:spacing w:val="-13"/>
        </w:rPr>
        <w:t> </w:t>
      </w:r>
      <w:r>
        <w:rPr/>
        <w:t>(frente</w:t>
      </w:r>
      <w:r>
        <w:rPr>
          <w:spacing w:val="-13"/>
        </w:rPr>
        <w:t> </w:t>
      </w:r>
      <w:r>
        <w:rPr/>
        <w:t>a</w:t>
      </w:r>
      <w:r>
        <w:rPr>
          <w:spacing w:val="-12"/>
        </w:rPr>
        <w:t> </w:t>
      </w:r>
      <w:r>
        <w:rPr/>
        <w:t>297.500,00</w:t>
      </w:r>
      <w:r>
        <w:rPr>
          <w:spacing w:val="-13"/>
        </w:rPr>
        <w:t> </w:t>
      </w:r>
      <w:r>
        <w:rPr/>
        <w:t>euros</w:t>
      </w:r>
      <w:r>
        <w:rPr>
          <w:spacing w:val="-13"/>
        </w:rPr>
        <w:t> </w:t>
      </w:r>
      <w:r>
        <w:rPr/>
        <w:t>en</w:t>
      </w:r>
      <w:r>
        <w:rPr>
          <w:spacing w:val="-12"/>
        </w:rPr>
        <w:t> </w:t>
      </w:r>
      <w:r>
        <w:rPr/>
        <w:t>el ejercicio 2024).</w:t>
      </w:r>
    </w:p>
    <w:p>
      <w:pPr>
        <w:pStyle w:val="BodyText"/>
        <w:spacing w:before="2"/>
      </w:pPr>
    </w:p>
    <w:p>
      <w:pPr>
        <w:pStyle w:val="BodyText"/>
        <w:spacing w:line="247" w:lineRule="auto"/>
        <w:ind w:left="995" w:right="847"/>
        <w:jc w:val="both"/>
      </w:pPr>
      <w:r>
        <w:rPr/>
        <w:t>El 17 de mayo de 2019 se suscribió la Adenda Modificativa del Convenio entre el Administrador de Infraestructuras</w:t>
      </w:r>
      <w:r>
        <w:rPr>
          <w:spacing w:val="-5"/>
        </w:rPr>
        <w:t> </w:t>
      </w:r>
      <w:r>
        <w:rPr/>
        <w:t>Ferroviarias,</w:t>
      </w:r>
      <w:r>
        <w:rPr>
          <w:spacing w:val="-4"/>
        </w:rPr>
        <w:t> </w:t>
      </w:r>
      <w:r>
        <w:rPr/>
        <w:t>Adif-Alta</w:t>
      </w:r>
      <w:r>
        <w:rPr>
          <w:spacing w:val="-4"/>
        </w:rPr>
        <w:t> </w:t>
      </w:r>
      <w:r>
        <w:rPr/>
        <w:t>Velocidad,</w:t>
      </w:r>
      <w:r>
        <w:rPr>
          <w:spacing w:val="-4"/>
        </w:rPr>
        <w:t> </w:t>
      </w:r>
      <w:r>
        <w:rPr/>
        <w:t>el</w:t>
      </w:r>
      <w:r>
        <w:rPr>
          <w:spacing w:val="-4"/>
        </w:rPr>
        <w:t> </w:t>
      </w:r>
      <w:r>
        <w:rPr/>
        <w:t>Ministerio</w:t>
      </w:r>
      <w:r>
        <w:rPr>
          <w:spacing w:val="-4"/>
        </w:rPr>
        <w:t> </w:t>
      </w:r>
      <w:r>
        <w:rPr/>
        <w:t>de</w:t>
      </w:r>
      <w:r>
        <w:rPr>
          <w:spacing w:val="-5"/>
        </w:rPr>
        <w:t> </w:t>
      </w:r>
      <w:r>
        <w:rPr/>
        <w:t>Fomento</w:t>
      </w:r>
      <w:r>
        <w:rPr>
          <w:spacing w:val="-4"/>
        </w:rPr>
        <w:t> </w:t>
      </w:r>
      <w:r>
        <w:rPr/>
        <w:t>(actualmente</w:t>
      </w:r>
      <w:r>
        <w:rPr>
          <w:spacing w:val="-5"/>
        </w:rPr>
        <w:t> </w:t>
      </w:r>
      <w:r>
        <w:rPr/>
        <w:t>Ministerio de Transportes y Movilidad Sostenible), la Comunidad Autónoma de la Región de Murcia, el Ayuntamiento</w:t>
      </w:r>
      <w:r>
        <w:rPr>
          <w:spacing w:val="-14"/>
        </w:rPr>
        <w:t> </w:t>
      </w:r>
      <w:r>
        <w:rPr/>
        <w:t>de</w:t>
      </w:r>
      <w:r>
        <w:rPr>
          <w:spacing w:val="-14"/>
        </w:rPr>
        <w:t> </w:t>
      </w:r>
      <w:r>
        <w:rPr/>
        <w:t>Murcia</w:t>
      </w:r>
      <w:r>
        <w:rPr>
          <w:spacing w:val="-14"/>
        </w:rPr>
        <w:t> </w:t>
      </w:r>
      <w:r>
        <w:rPr/>
        <w:t>y</w:t>
      </w:r>
      <w:r>
        <w:rPr>
          <w:spacing w:val="-13"/>
        </w:rPr>
        <w:t> </w:t>
      </w:r>
      <w:r>
        <w:rPr/>
        <w:t>Murcia</w:t>
      </w:r>
      <w:r>
        <w:rPr>
          <w:spacing w:val="-14"/>
        </w:rPr>
        <w:t> </w:t>
      </w:r>
      <w:r>
        <w:rPr/>
        <w:t>Alta</w:t>
      </w:r>
      <w:r>
        <w:rPr>
          <w:spacing w:val="-14"/>
        </w:rPr>
        <w:t> </w:t>
      </w:r>
      <w:r>
        <w:rPr/>
        <w:t>Velocidad,</w:t>
      </w:r>
      <w:r>
        <w:rPr>
          <w:spacing w:val="-14"/>
        </w:rPr>
        <w:t> </w:t>
      </w:r>
      <w:r>
        <w:rPr/>
        <w:t>para</w:t>
      </w:r>
      <w:r>
        <w:rPr>
          <w:spacing w:val="-13"/>
        </w:rPr>
        <w:t> </w:t>
      </w:r>
      <w:r>
        <w:rPr/>
        <w:t>la</w:t>
      </w:r>
      <w:r>
        <w:rPr>
          <w:spacing w:val="-14"/>
        </w:rPr>
        <w:t> </w:t>
      </w:r>
      <w:r>
        <w:rPr/>
        <w:t>financiación</w:t>
      </w:r>
      <w:r>
        <w:rPr>
          <w:spacing w:val="-14"/>
        </w:rPr>
        <w:t> </w:t>
      </w:r>
      <w:r>
        <w:rPr/>
        <w:t>de</w:t>
      </w:r>
      <w:r>
        <w:rPr>
          <w:spacing w:val="-14"/>
        </w:rPr>
        <w:t> </w:t>
      </w:r>
      <w:r>
        <w:rPr/>
        <w:t>la</w:t>
      </w:r>
      <w:r>
        <w:rPr>
          <w:spacing w:val="-13"/>
        </w:rPr>
        <w:t> </w:t>
      </w:r>
      <w:r>
        <w:rPr/>
        <w:t>integración</w:t>
      </w:r>
      <w:r>
        <w:rPr>
          <w:spacing w:val="-14"/>
        </w:rPr>
        <w:t> </w:t>
      </w:r>
      <w:r>
        <w:rPr/>
        <w:t>del</w:t>
      </w:r>
      <w:r>
        <w:rPr>
          <w:spacing w:val="-14"/>
        </w:rPr>
        <w:t> </w:t>
      </w:r>
      <w:r>
        <w:rPr/>
        <w:t>ferrocarril en la ciudad de Murcia (BOE n.º124 de 24 de mayo de 2019).</w:t>
      </w:r>
    </w:p>
    <w:p>
      <w:pPr>
        <w:pStyle w:val="BodyText"/>
        <w:spacing w:after="0" w:line="247" w:lineRule="auto"/>
        <w:jc w:val="both"/>
        <w:sectPr>
          <w:pgSz w:w="11910" w:h="16840"/>
          <w:pgMar w:header="694" w:footer="690" w:top="1920" w:bottom="880" w:left="708" w:right="425"/>
        </w:sectPr>
      </w:pPr>
    </w:p>
    <w:p>
      <w:pPr>
        <w:pStyle w:val="BodyText"/>
        <w:spacing w:line="247" w:lineRule="auto" w:before="187"/>
        <w:ind w:left="995" w:right="844"/>
        <w:jc w:val="both"/>
      </w:pPr>
      <w:r>
        <w:rPr/>
        <w:t>En</w:t>
      </w:r>
      <w:r>
        <w:rPr>
          <w:spacing w:val="-2"/>
        </w:rPr>
        <w:t> </w:t>
      </w:r>
      <w:r>
        <w:rPr/>
        <w:t>la</w:t>
      </w:r>
      <w:r>
        <w:rPr>
          <w:spacing w:val="-3"/>
        </w:rPr>
        <w:t> </w:t>
      </w:r>
      <w:r>
        <w:rPr/>
        <w:t>tabla</w:t>
      </w:r>
      <w:r>
        <w:rPr>
          <w:spacing w:val="-3"/>
        </w:rPr>
        <w:t> </w:t>
      </w:r>
      <w:r>
        <w:rPr/>
        <w:t>siguiente</w:t>
      </w:r>
      <w:r>
        <w:rPr>
          <w:spacing w:val="-3"/>
        </w:rPr>
        <w:t> </w:t>
      </w:r>
      <w:r>
        <w:rPr/>
        <w:t>se</w:t>
      </w:r>
      <w:r>
        <w:rPr>
          <w:spacing w:val="-3"/>
        </w:rPr>
        <w:t> </w:t>
      </w:r>
      <w:r>
        <w:rPr/>
        <w:t>detallan</w:t>
      </w:r>
      <w:r>
        <w:rPr>
          <w:spacing w:val="-3"/>
        </w:rPr>
        <w:t> </w:t>
      </w:r>
      <w:r>
        <w:rPr/>
        <w:t>las</w:t>
      </w:r>
      <w:r>
        <w:rPr>
          <w:spacing w:val="-2"/>
        </w:rPr>
        <w:t> </w:t>
      </w:r>
      <w:r>
        <w:rPr/>
        <w:t>aportaciones</w:t>
      </w:r>
      <w:r>
        <w:rPr>
          <w:spacing w:val="-3"/>
        </w:rPr>
        <w:t> </w:t>
      </w:r>
      <w:r>
        <w:rPr/>
        <w:t>a</w:t>
      </w:r>
      <w:r>
        <w:rPr>
          <w:spacing w:val="-3"/>
        </w:rPr>
        <w:t> </w:t>
      </w:r>
      <w:r>
        <w:rPr/>
        <w:t>la</w:t>
      </w:r>
      <w:r>
        <w:rPr>
          <w:spacing w:val="-2"/>
        </w:rPr>
        <w:t> </w:t>
      </w:r>
      <w:r>
        <w:rPr/>
        <w:t>Sociedad,</w:t>
      </w:r>
      <w:r>
        <w:rPr>
          <w:spacing w:val="-2"/>
        </w:rPr>
        <w:t> </w:t>
      </w:r>
      <w:r>
        <w:rPr/>
        <w:t>a</w:t>
      </w:r>
      <w:r>
        <w:rPr>
          <w:spacing w:val="-3"/>
        </w:rPr>
        <w:t> </w:t>
      </w:r>
      <w:r>
        <w:rPr/>
        <w:t>lo</w:t>
      </w:r>
      <w:r>
        <w:rPr>
          <w:spacing w:val="-2"/>
        </w:rPr>
        <w:t> </w:t>
      </w:r>
      <w:r>
        <w:rPr/>
        <w:t>largo</w:t>
      </w:r>
      <w:r>
        <w:rPr>
          <w:spacing w:val="-2"/>
        </w:rPr>
        <w:t> </w:t>
      </w:r>
      <w:r>
        <w:rPr/>
        <w:t>de</w:t>
      </w:r>
      <w:r>
        <w:rPr>
          <w:spacing w:val="-3"/>
        </w:rPr>
        <w:t> </w:t>
      </w:r>
      <w:r>
        <w:rPr/>
        <w:t>la</w:t>
      </w:r>
      <w:r>
        <w:rPr>
          <w:spacing w:val="-1"/>
        </w:rPr>
        <w:t> </w:t>
      </w:r>
      <w:r>
        <w:rPr/>
        <w:t>duración</w:t>
      </w:r>
      <w:r>
        <w:rPr>
          <w:spacing w:val="-2"/>
        </w:rPr>
        <w:t> </w:t>
      </w:r>
      <w:r>
        <w:rPr/>
        <w:t>de</w:t>
      </w:r>
      <w:r>
        <w:rPr>
          <w:spacing w:val="-3"/>
        </w:rPr>
        <w:t> </w:t>
      </w:r>
      <w:r>
        <w:rPr/>
        <w:t>la</w:t>
      </w:r>
      <w:r>
        <w:rPr>
          <w:spacing w:val="-3"/>
        </w:rPr>
        <w:t> </w:t>
      </w:r>
      <w:r>
        <w:rPr/>
        <w:t>Adenda Modificativa,</w:t>
      </w:r>
      <w:r>
        <w:rPr>
          <w:spacing w:val="-6"/>
        </w:rPr>
        <w:t> </w:t>
      </w:r>
      <w:r>
        <w:rPr/>
        <w:t>para</w:t>
      </w:r>
      <w:r>
        <w:rPr>
          <w:spacing w:val="-6"/>
        </w:rPr>
        <w:t> </w:t>
      </w:r>
      <w:r>
        <w:rPr/>
        <w:t>asumir</w:t>
      </w:r>
      <w:r>
        <w:rPr>
          <w:spacing w:val="-6"/>
        </w:rPr>
        <w:t> </w:t>
      </w:r>
      <w:r>
        <w:rPr/>
        <w:t>los</w:t>
      </w:r>
      <w:r>
        <w:rPr>
          <w:spacing w:val="-6"/>
        </w:rPr>
        <w:t> </w:t>
      </w:r>
      <w:r>
        <w:rPr/>
        <w:t>costes</w:t>
      </w:r>
      <w:r>
        <w:rPr>
          <w:spacing w:val="-6"/>
        </w:rPr>
        <w:t> </w:t>
      </w:r>
      <w:r>
        <w:rPr/>
        <w:t>del</w:t>
      </w:r>
      <w:r>
        <w:rPr>
          <w:spacing w:val="-5"/>
        </w:rPr>
        <w:t> </w:t>
      </w:r>
      <w:r>
        <w:rPr/>
        <w:t>resto</w:t>
      </w:r>
      <w:r>
        <w:rPr>
          <w:spacing w:val="-6"/>
        </w:rPr>
        <w:t> </w:t>
      </w:r>
      <w:r>
        <w:rPr/>
        <w:t>de</w:t>
      </w:r>
      <w:r>
        <w:rPr>
          <w:spacing w:val="-6"/>
        </w:rPr>
        <w:t> </w:t>
      </w:r>
      <w:r>
        <w:rPr/>
        <w:t>las</w:t>
      </w:r>
      <w:r>
        <w:rPr>
          <w:spacing w:val="-6"/>
        </w:rPr>
        <w:t> </w:t>
      </w:r>
      <w:r>
        <w:rPr/>
        <w:t>actuaciones</w:t>
      </w:r>
      <w:r>
        <w:rPr>
          <w:spacing w:val="-6"/>
        </w:rPr>
        <w:t> </w:t>
      </w:r>
      <w:r>
        <w:rPr/>
        <w:t>ferroviarias</w:t>
      </w:r>
      <w:r>
        <w:rPr>
          <w:spacing w:val="-6"/>
        </w:rPr>
        <w:t> </w:t>
      </w:r>
      <w:r>
        <w:rPr/>
        <w:t>y</w:t>
      </w:r>
      <w:r>
        <w:rPr>
          <w:spacing w:val="-6"/>
        </w:rPr>
        <w:t> </w:t>
      </w:r>
      <w:r>
        <w:rPr/>
        <w:t>urbanísticas</w:t>
      </w:r>
      <w:r>
        <w:rPr>
          <w:spacing w:val="-6"/>
        </w:rPr>
        <w:t> </w:t>
      </w:r>
      <w:r>
        <w:rPr/>
        <w:t>pendientes más costes operativos y financieros:</w:t>
      </w:r>
    </w:p>
    <w:p>
      <w:pPr>
        <w:pStyle w:val="BodyText"/>
        <w:spacing w:before="4"/>
        <w:rPr>
          <w:sz w:val="10"/>
        </w:rPr>
      </w:pPr>
    </w:p>
    <w:tbl>
      <w:tblPr>
        <w:tblW w:w="0" w:type="auto"/>
        <w:jc w:val="left"/>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3"/>
        <w:gridCol w:w="774"/>
        <w:gridCol w:w="773"/>
        <w:gridCol w:w="773"/>
        <w:gridCol w:w="773"/>
        <w:gridCol w:w="773"/>
        <w:gridCol w:w="773"/>
        <w:gridCol w:w="774"/>
        <w:gridCol w:w="773"/>
        <w:gridCol w:w="773"/>
        <w:gridCol w:w="773"/>
        <w:gridCol w:w="773"/>
      </w:tblGrid>
      <w:tr>
        <w:trPr>
          <w:trHeight w:val="251" w:hRule="atLeast"/>
        </w:trPr>
        <w:tc>
          <w:tcPr>
            <w:tcW w:w="1833" w:type="dxa"/>
            <w:tcBorders>
              <w:bottom w:val="single" w:sz="8" w:space="0" w:color="000000"/>
              <w:right w:val="single" w:sz="8" w:space="0" w:color="000000"/>
            </w:tcBorders>
          </w:tcPr>
          <w:p>
            <w:pPr>
              <w:pStyle w:val="TableParagraph"/>
              <w:spacing w:before="45"/>
              <w:ind w:left="14" w:right="3"/>
              <w:jc w:val="center"/>
              <w:rPr>
                <w:b/>
                <w:sz w:val="14"/>
              </w:rPr>
            </w:pPr>
            <w:r>
              <w:rPr>
                <w:b/>
                <w:spacing w:val="-2"/>
                <w:sz w:val="14"/>
              </w:rPr>
              <w:t>Aportaciones</w:t>
            </w:r>
            <w:r>
              <w:rPr>
                <w:b/>
                <w:spacing w:val="15"/>
                <w:sz w:val="14"/>
              </w:rPr>
              <w:t> </w:t>
            </w:r>
            <w:r>
              <w:rPr>
                <w:b/>
                <w:spacing w:val="-2"/>
                <w:sz w:val="14"/>
              </w:rPr>
              <w:t>Accionistas</w:t>
            </w:r>
          </w:p>
        </w:tc>
        <w:tc>
          <w:tcPr>
            <w:tcW w:w="774" w:type="dxa"/>
            <w:tcBorders>
              <w:left w:val="single" w:sz="8" w:space="0" w:color="000000"/>
              <w:bottom w:val="single" w:sz="8" w:space="0" w:color="000000"/>
              <w:right w:val="single" w:sz="8" w:space="0" w:color="000000"/>
            </w:tcBorders>
          </w:tcPr>
          <w:p>
            <w:pPr>
              <w:pStyle w:val="TableParagraph"/>
              <w:spacing w:before="45"/>
              <w:ind w:right="125"/>
              <w:jc w:val="right"/>
              <w:rPr>
                <w:b/>
                <w:sz w:val="14"/>
              </w:rPr>
            </w:pPr>
            <w:r>
              <w:rPr>
                <w:b/>
                <w:spacing w:val="-2"/>
                <w:sz w:val="14"/>
              </w:rPr>
              <w:t>TOTAL</w:t>
            </w:r>
          </w:p>
        </w:tc>
        <w:tc>
          <w:tcPr>
            <w:tcW w:w="773" w:type="dxa"/>
            <w:tcBorders>
              <w:left w:val="single" w:sz="8" w:space="0" w:color="000000"/>
              <w:bottom w:val="single" w:sz="8" w:space="0" w:color="000000"/>
              <w:right w:val="single" w:sz="8" w:space="0" w:color="000000"/>
            </w:tcBorders>
          </w:tcPr>
          <w:p>
            <w:pPr>
              <w:pStyle w:val="TableParagraph"/>
              <w:spacing w:before="45"/>
              <w:ind w:left="240"/>
              <w:rPr>
                <w:b/>
                <w:sz w:val="14"/>
              </w:rPr>
            </w:pPr>
            <w:r>
              <w:rPr>
                <w:b/>
                <w:spacing w:val="-4"/>
                <w:sz w:val="14"/>
              </w:rPr>
              <w:t>2019</w:t>
            </w:r>
          </w:p>
        </w:tc>
        <w:tc>
          <w:tcPr>
            <w:tcW w:w="773" w:type="dxa"/>
            <w:tcBorders>
              <w:left w:val="single" w:sz="8" w:space="0" w:color="000000"/>
              <w:bottom w:val="single" w:sz="8" w:space="0" w:color="000000"/>
              <w:right w:val="single" w:sz="8" w:space="0" w:color="000000"/>
            </w:tcBorders>
          </w:tcPr>
          <w:p>
            <w:pPr>
              <w:pStyle w:val="TableParagraph"/>
              <w:spacing w:before="45"/>
              <w:ind w:left="240"/>
              <w:rPr>
                <w:b/>
                <w:sz w:val="14"/>
              </w:rPr>
            </w:pPr>
            <w:r>
              <w:rPr>
                <w:b/>
                <w:spacing w:val="-4"/>
                <w:sz w:val="14"/>
              </w:rPr>
              <w:t>2020</w:t>
            </w:r>
          </w:p>
        </w:tc>
        <w:tc>
          <w:tcPr>
            <w:tcW w:w="773" w:type="dxa"/>
            <w:tcBorders>
              <w:left w:val="single" w:sz="8" w:space="0" w:color="000000"/>
              <w:bottom w:val="single" w:sz="8" w:space="0" w:color="000000"/>
              <w:right w:val="single" w:sz="8" w:space="0" w:color="000000"/>
            </w:tcBorders>
          </w:tcPr>
          <w:p>
            <w:pPr>
              <w:pStyle w:val="TableParagraph"/>
              <w:spacing w:before="45"/>
              <w:ind w:left="240"/>
              <w:rPr>
                <w:b/>
                <w:sz w:val="14"/>
              </w:rPr>
            </w:pPr>
            <w:r>
              <w:rPr>
                <w:b/>
                <w:spacing w:val="-4"/>
                <w:sz w:val="14"/>
              </w:rPr>
              <w:t>2021</w:t>
            </w:r>
          </w:p>
        </w:tc>
        <w:tc>
          <w:tcPr>
            <w:tcW w:w="773" w:type="dxa"/>
            <w:tcBorders>
              <w:left w:val="single" w:sz="8" w:space="0" w:color="000000"/>
              <w:bottom w:val="single" w:sz="8" w:space="0" w:color="000000"/>
              <w:right w:val="single" w:sz="8" w:space="0" w:color="000000"/>
            </w:tcBorders>
          </w:tcPr>
          <w:p>
            <w:pPr>
              <w:pStyle w:val="TableParagraph"/>
              <w:spacing w:before="45"/>
              <w:ind w:left="241"/>
              <w:rPr>
                <w:b/>
                <w:sz w:val="14"/>
              </w:rPr>
            </w:pPr>
            <w:r>
              <w:rPr>
                <w:b/>
                <w:spacing w:val="-4"/>
                <w:sz w:val="14"/>
              </w:rPr>
              <w:t>2022</w:t>
            </w:r>
          </w:p>
        </w:tc>
        <w:tc>
          <w:tcPr>
            <w:tcW w:w="773" w:type="dxa"/>
            <w:tcBorders>
              <w:left w:val="single" w:sz="8" w:space="0" w:color="000000"/>
              <w:bottom w:val="single" w:sz="8" w:space="0" w:color="000000"/>
              <w:right w:val="single" w:sz="8" w:space="0" w:color="000000"/>
            </w:tcBorders>
          </w:tcPr>
          <w:p>
            <w:pPr>
              <w:pStyle w:val="TableParagraph"/>
              <w:spacing w:before="45"/>
              <w:ind w:left="241"/>
              <w:rPr>
                <w:b/>
                <w:sz w:val="14"/>
              </w:rPr>
            </w:pPr>
            <w:r>
              <w:rPr>
                <w:b/>
                <w:spacing w:val="-4"/>
                <w:sz w:val="14"/>
              </w:rPr>
              <w:t>2023</w:t>
            </w:r>
          </w:p>
        </w:tc>
        <w:tc>
          <w:tcPr>
            <w:tcW w:w="774" w:type="dxa"/>
            <w:tcBorders>
              <w:left w:val="single" w:sz="8" w:space="0" w:color="000000"/>
              <w:bottom w:val="single" w:sz="8" w:space="0" w:color="000000"/>
              <w:right w:val="single" w:sz="8" w:space="0" w:color="000000"/>
            </w:tcBorders>
          </w:tcPr>
          <w:p>
            <w:pPr>
              <w:pStyle w:val="TableParagraph"/>
              <w:spacing w:before="45"/>
              <w:ind w:left="241"/>
              <w:rPr>
                <w:b/>
                <w:sz w:val="14"/>
              </w:rPr>
            </w:pPr>
            <w:r>
              <w:rPr>
                <w:b/>
                <w:spacing w:val="-4"/>
                <w:sz w:val="14"/>
              </w:rPr>
              <w:t>2024</w:t>
            </w:r>
          </w:p>
        </w:tc>
        <w:tc>
          <w:tcPr>
            <w:tcW w:w="773" w:type="dxa"/>
            <w:tcBorders>
              <w:left w:val="single" w:sz="8" w:space="0" w:color="000000"/>
              <w:bottom w:val="single" w:sz="8" w:space="0" w:color="000000"/>
              <w:right w:val="single" w:sz="8" w:space="0" w:color="000000"/>
            </w:tcBorders>
          </w:tcPr>
          <w:p>
            <w:pPr>
              <w:pStyle w:val="TableParagraph"/>
              <w:spacing w:before="45"/>
              <w:ind w:left="240"/>
              <w:rPr>
                <w:b/>
                <w:sz w:val="14"/>
              </w:rPr>
            </w:pPr>
            <w:r>
              <w:rPr>
                <w:b/>
                <w:spacing w:val="-4"/>
                <w:sz w:val="14"/>
              </w:rPr>
              <w:t>2025</w:t>
            </w:r>
          </w:p>
        </w:tc>
        <w:tc>
          <w:tcPr>
            <w:tcW w:w="773" w:type="dxa"/>
            <w:tcBorders>
              <w:left w:val="single" w:sz="8" w:space="0" w:color="000000"/>
              <w:bottom w:val="single" w:sz="8" w:space="0" w:color="000000"/>
              <w:right w:val="single" w:sz="8" w:space="0" w:color="000000"/>
            </w:tcBorders>
          </w:tcPr>
          <w:p>
            <w:pPr>
              <w:pStyle w:val="TableParagraph"/>
              <w:spacing w:before="45"/>
              <w:ind w:left="240"/>
              <w:rPr>
                <w:b/>
                <w:sz w:val="14"/>
              </w:rPr>
            </w:pPr>
            <w:r>
              <w:rPr>
                <w:b/>
                <w:spacing w:val="-4"/>
                <w:sz w:val="14"/>
              </w:rPr>
              <w:t>2026</w:t>
            </w:r>
          </w:p>
        </w:tc>
        <w:tc>
          <w:tcPr>
            <w:tcW w:w="773" w:type="dxa"/>
            <w:tcBorders>
              <w:left w:val="single" w:sz="8" w:space="0" w:color="000000"/>
              <w:bottom w:val="single" w:sz="8" w:space="0" w:color="000000"/>
              <w:right w:val="single" w:sz="8" w:space="0" w:color="000000"/>
            </w:tcBorders>
          </w:tcPr>
          <w:p>
            <w:pPr>
              <w:pStyle w:val="TableParagraph"/>
              <w:spacing w:before="45"/>
              <w:ind w:left="240"/>
              <w:rPr>
                <w:b/>
                <w:sz w:val="14"/>
              </w:rPr>
            </w:pPr>
            <w:r>
              <w:rPr>
                <w:b/>
                <w:spacing w:val="-4"/>
                <w:sz w:val="14"/>
              </w:rPr>
              <w:t>2027</w:t>
            </w:r>
          </w:p>
        </w:tc>
        <w:tc>
          <w:tcPr>
            <w:tcW w:w="773" w:type="dxa"/>
            <w:tcBorders>
              <w:left w:val="single" w:sz="8" w:space="0" w:color="000000"/>
              <w:bottom w:val="single" w:sz="8" w:space="0" w:color="000000"/>
            </w:tcBorders>
          </w:tcPr>
          <w:p>
            <w:pPr>
              <w:pStyle w:val="TableParagraph"/>
              <w:spacing w:before="45"/>
              <w:ind w:left="239"/>
              <w:rPr>
                <w:b/>
                <w:sz w:val="14"/>
              </w:rPr>
            </w:pPr>
            <w:r>
              <w:rPr>
                <w:b/>
                <w:spacing w:val="-4"/>
                <w:sz w:val="14"/>
              </w:rPr>
              <w:t>2028</w:t>
            </w:r>
          </w:p>
        </w:tc>
      </w:tr>
      <w:tr>
        <w:trPr>
          <w:trHeight w:val="252" w:hRule="atLeast"/>
        </w:trPr>
        <w:tc>
          <w:tcPr>
            <w:tcW w:w="1833" w:type="dxa"/>
            <w:tcBorders>
              <w:top w:val="single" w:sz="8" w:space="0" w:color="000000"/>
              <w:bottom w:val="single" w:sz="8" w:space="0" w:color="000000"/>
              <w:right w:val="single" w:sz="8" w:space="0" w:color="000000"/>
            </w:tcBorders>
          </w:tcPr>
          <w:p>
            <w:pPr>
              <w:pStyle w:val="TableParagraph"/>
              <w:spacing w:before="45"/>
              <w:ind w:left="14"/>
              <w:jc w:val="center"/>
              <w:rPr>
                <w:sz w:val="14"/>
              </w:rPr>
            </w:pPr>
            <w:r>
              <w:rPr>
                <w:spacing w:val="-2"/>
                <w:sz w:val="14"/>
              </w:rPr>
              <w:t>ADIF-</w:t>
            </w:r>
            <w:r>
              <w:rPr>
                <w:spacing w:val="-5"/>
                <w:sz w:val="14"/>
              </w:rPr>
              <w:t>AV</w:t>
            </w:r>
          </w:p>
        </w:tc>
        <w:tc>
          <w:tcPr>
            <w:tcW w:w="774"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341,926</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69,035</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left="311"/>
              <w:rPr>
                <w:sz w:val="14"/>
              </w:rPr>
            </w:pPr>
            <w:r>
              <w:rPr>
                <w:spacing w:val="-2"/>
                <w:sz w:val="14"/>
              </w:rPr>
              <w:t>84,041</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100,861</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3"/>
              <w:jc w:val="right"/>
              <w:rPr>
                <w:sz w:val="14"/>
              </w:rPr>
            </w:pPr>
            <w:r>
              <w:rPr>
                <w:spacing w:val="-2"/>
                <w:sz w:val="14"/>
              </w:rPr>
              <w:t>54,187</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3"/>
              <w:jc w:val="right"/>
              <w:rPr>
                <w:sz w:val="14"/>
              </w:rPr>
            </w:pPr>
            <w:r>
              <w:rPr>
                <w:spacing w:val="-2"/>
                <w:sz w:val="14"/>
              </w:rPr>
              <w:t>33,327</w:t>
            </w:r>
          </w:p>
        </w:tc>
        <w:tc>
          <w:tcPr>
            <w:tcW w:w="774"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0,095</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0,095</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0,095</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0,095</w:t>
            </w:r>
          </w:p>
        </w:tc>
        <w:tc>
          <w:tcPr>
            <w:tcW w:w="773" w:type="dxa"/>
            <w:tcBorders>
              <w:top w:val="single" w:sz="8" w:space="0" w:color="000000"/>
              <w:left w:val="single" w:sz="8" w:space="0" w:color="000000"/>
              <w:bottom w:val="single" w:sz="8" w:space="0" w:color="000000"/>
            </w:tcBorders>
          </w:tcPr>
          <w:p>
            <w:pPr>
              <w:pStyle w:val="TableParagraph"/>
              <w:spacing w:before="45"/>
              <w:ind w:right="59"/>
              <w:jc w:val="right"/>
              <w:rPr>
                <w:sz w:val="14"/>
              </w:rPr>
            </w:pPr>
            <w:r>
              <w:rPr>
                <w:spacing w:val="-2"/>
                <w:sz w:val="14"/>
              </w:rPr>
              <w:t>0,095</w:t>
            </w:r>
          </w:p>
        </w:tc>
      </w:tr>
      <w:tr>
        <w:trPr>
          <w:trHeight w:val="251" w:hRule="atLeast"/>
        </w:trPr>
        <w:tc>
          <w:tcPr>
            <w:tcW w:w="1833" w:type="dxa"/>
            <w:tcBorders>
              <w:top w:val="single" w:sz="8" w:space="0" w:color="000000"/>
              <w:bottom w:val="single" w:sz="8" w:space="0" w:color="000000"/>
              <w:right w:val="single" w:sz="8" w:space="0" w:color="000000"/>
            </w:tcBorders>
          </w:tcPr>
          <w:p>
            <w:pPr>
              <w:pStyle w:val="TableParagraph"/>
              <w:spacing w:before="45"/>
              <w:ind w:left="14" w:right="1"/>
              <w:jc w:val="center"/>
              <w:rPr>
                <w:sz w:val="14"/>
              </w:rPr>
            </w:pPr>
            <w:r>
              <w:rPr>
                <w:sz w:val="14"/>
              </w:rPr>
              <w:t>Región</w:t>
            </w:r>
            <w:r>
              <w:rPr>
                <w:spacing w:val="-5"/>
                <w:sz w:val="14"/>
              </w:rPr>
              <w:t> </w:t>
            </w:r>
            <w:r>
              <w:rPr>
                <w:sz w:val="14"/>
              </w:rPr>
              <w:t>de</w:t>
            </w:r>
            <w:r>
              <w:rPr>
                <w:spacing w:val="-1"/>
                <w:sz w:val="14"/>
              </w:rPr>
              <w:t> </w:t>
            </w:r>
            <w:r>
              <w:rPr>
                <w:spacing w:val="-2"/>
                <w:sz w:val="14"/>
              </w:rPr>
              <w:t>Murcia</w:t>
            </w:r>
          </w:p>
        </w:tc>
        <w:tc>
          <w:tcPr>
            <w:tcW w:w="774"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134,698</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27,196</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left="311"/>
              <w:rPr>
                <w:sz w:val="14"/>
              </w:rPr>
            </w:pPr>
            <w:r>
              <w:rPr>
                <w:spacing w:val="-2"/>
                <w:sz w:val="14"/>
              </w:rPr>
              <w:t>33,107</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39,733</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3"/>
              <w:jc w:val="right"/>
              <w:rPr>
                <w:sz w:val="14"/>
              </w:rPr>
            </w:pPr>
            <w:r>
              <w:rPr>
                <w:spacing w:val="-2"/>
                <w:sz w:val="14"/>
              </w:rPr>
              <w:t>21,346</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3"/>
              <w:jc w:val="right"/>
              <w:rPr>
                <w:sz w:val="14"/>
              </w:rPr>
            </w:pPr>
            <w:r>
              <w:rPr>
                <w:spacing w:val="-2"/>
                <w:sz w:val="14"/>
              </w:rPr>
              <w:t>13,129</w:t>
            </w:r>
          </w:p>
        </w:tc>
        <w:tc>
          <w:tcPr>
            <w:tcW w:w="774"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0,037</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0,037</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0,037</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0,037</w:t>
            </w:r>
          </w:p>
        </w:tc>
        <w:tc>
          <w:tcPr>
            <w:tcW w:w="773" w:type="dxa"/>
            <w:tcBorders>
              <w:top w:val="single" w:sz="8" w:space="0" w:color="000000"/>
              <w:left w:val="single" w:sz="8" w:space="0" w:color="000000"/>
              <w:bottom w:val="single" w:sz="8" w:space="0" w:color="000000"/>
            </w:tcBorders>
          </w:tcPr>
          <w:p>
            <w:pPr>
              <w:pStyle w:val="TableParagraph"/>
              <w:spacing w:before="45"/>
              <w:ind w:right="59"/>
              <w:jc w:val="right"/>
              <w:rPr>
                <w:sz w:val="14"/>
              </w:rPr>
            </w:pPr>
            <w:r>
              <w:rPr>
                <w:spacing w:val="-2"/>
                <w:sz w:val="14"/>
              </w:rPr>
              <w:t>0,037</w:t>
            </w:r>
          </w:p>
        </w:tc>
      </w:tr>
      <w:tr>
        <w:trPr>
          <w:trHeight w:val="252" w:hRule="atLeast"/>
        </w:trPr>
        <w:tc>
          <w:tcPr>
            <w:tcW w:w="1833" w:type="dxa"/>
            <w:tcBorders>
              <w:top w:val="single" w:sz="8" w:space="0" w:color="000000"/>
              <w:bottom w:val="single" w:sz="8" w:space="0" w:color="000000"/>
              <w:right w:val="single" w:sz="8" w:space="0" w:color="000000"/>
            </w:tcBorders>
          </w:tcPr>
          <w:p>
            <w:pPr>
              <w:pStyle w:val="TableParagraph"/>
              <w:spacing w:before="46"/>
              <w:ind w:left="14"/>
              <w:jc w:val="center"/>
              <w:rPr>
                <w:sz w:val="14"/>
              </w:rPr>
            </w:pPr>
            <w:r>
              <w:rPr>
                <w:sz w:val="14"/>
              </w:rPr>
              <w:t>Ayuntamiento</w:t>
            </w:r>
            <w:r>
              <w:rPr>
                <w:spacing w:val="-3"/>
                <w:sz w:val="14"/>
              </w:rPr>
              <w:t> </w:t>
            </w:r>
            <w:r>
              <w:rPr>
                <w:sz w:val="14"/>
              </w:rPr>
              <w:t>de</w:t>
            </w:r>
            <w:r>
              <w:rPr>
                <w:spacing w:val="-3"/>
                <w:sz w:val="14"/>
              </w:rPr>
              <w:t> </w:t>
            </w:r>
            <w:r>
              <w:rPr>
                <w:spacing w:val="-2"/>
                <w:sz w:val="14"/>
              </w:rPr>
              <w:t>Murcia</w:t>
            </w:r>
          </w:p>
        </w:tc>
        <w:tc>
          <w:tcPr>
            <w:tcW w:w="774"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41,446</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3"/>
              <w:jc w:val="right"/>
              <w:rPr>
                <w:sz w:val="14"/>
              </w:rPr>
            </w:pPr>
            <w:r>
              <w:rPr>
                <w:spacing w:val="-2"/>
                <w:sz w:val="14"/>
              </w:rPr>
              <w:t>8,368</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left="311"/>
              <w:rPr>
                <w:sz w:val="14"/>
              </w:rPr>
            </w:pPr>
            <w:r>
              <w:rPr>
                <w:spacing w:val="-2"/>
                <w:sz w:val="14"/>
              </w:rPr>
              <w:t>10,187</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12,226</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2"/>
              <w:jc w:val="right"/>
              <w:rPr>
                <w:sz w:val="14"/>
              </w:rPr>
            </w:pPr>
            <w:r>
              <w:rPr>
                <w:spacing w:val="-2"/>
                <w:sz w:val="14"/>
              </w:rPr>
              <w:t>6,568</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3"/>
              <w:jc w:val="right"/>
              <w:rPr>
                <w:sz w:val="14"/>
              </w:rPr>
            </w:pPr>
            <w:r>
              <w:rPr>
                <w:spacing w:val="-2"/>
                <w:sz w:val="14"/>
              </w:rPr>
              <w:t>4,039</w:t>
            </w:r>
          </w:p>
        </w:tc>
        <w:tc>
          <w:tcPr>
            <w:tcW w:w="774"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0,012</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0,012</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0,012</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0,012</w:t>
            </w:r>
          </w:p>
        </w:tc>
        <w:tc>
          <w:tcPr>
            <w:tcW w:w="773" w:type="dxa"/>
            <w:tcBorders>
              <w:top w:val="single" w:sz="8" w:space="0" w:color="000000"/>
              <w:left w:val="single" w:sz="8" w:space="0" w:color="000000"/>
              <w:bottom w:val="single" w:sz="8" w:space="0" w:color="000000"/>
            </w:tcBorders>
          </w:tcPr>
          <w:p>
            <w:pPr>
              <w:pStyle w:val="TableParagraph"/>
              <w:spacing w:before="46"/>
              <w:ind w:right="59"/>
              <w:jc w:val="right"/>
              <w:rPr>
                <w:sz w:val="14"/>
              </w:rPr>
            </w:pPr>
            <w:r>
              <w:rPr>
                <w:spacing w:val="-2"/>
                <w:sz w:val="14"/>
              </w:rPr>
              <w:t>0,012</w:t>
            </w:r>
          </w:p>
        </w:tc>
      </w:tr>
      <w:tr>
        <w:trPr>
          <w:trHeight w:val="252" w:hRule="atLeast"/>
        </w:trPr>
        <w:tc>
          <w:tcPr>
            <w:tcW w:w="1833" w:type="dxa"/>
            <w:tcBorders>
              <w:top w:val="single" w:sz="8" w:space="0" w:color="000000"/>
              <w:right w:val="single" w:sz="8" w:space="0" w:color="000000"/>
            </w:tcBorders>
          </w:tcPr>
          <w:p>
            <w:pPr>
              <w:pStyle w:val="TableParagraph"/>
              <w:spacing w:before="45"/>
              <w:ind w:left="14" w:right="1"/>
              <w:jc w:val="center"/>
              <w:rPr>
                <w:b/>
                <w:sz w:val="14"/>
              </w:rPr>
            </w:pPr>
            <w:r>
              <w:rPr>
                <w:b/>
                <w:spacing w:val="-2"/>
                <w:sz w:val="14"/>
              </w:rPr>
              <w:t>Total</w:t>
            </w:r>
          </w:p>
        </w:tc>
        <w:tc>
          <w:tcPr>
            <w:tcW w:w="774" w:type="dxa"/>
            <w:tcBorders>
              <w:top w:val="single" w:sz="8" w:space="0" w:color="000000"/>
              <w:left w:val="single" w:sz="8" w:space="0" w:color="000000"/>
              <w:right w:val="single" w:sz="8" w:space="0" w:color="000000"/>
            </w:tcBorders>
          </w:tcPr>
          <w:p>
            <w:pPr>
              <w:pStyle w:val="TableParagraph"/>
              <w:spacing w:before="45"/>
              <w:ind w:right="54"/>
              <w:jc w:val="right"/>
              <w:rPr>
                <w:b/>
                <w:sz w:val="14"/>
              </w:rPr>
            </w:pPr>
            <w:r>
              <w:rPr>
                <w:b/>
                <w:spacing w:val="-2"/>
                <w:sz w:val="14"/>
              </w:rPr>
              <w:t>518,070</w:t>
            </w:r>
          </w:p>
        </w:tc>
        <w:tc>
          <w:tcPr>
            <w:tcW w:w="773" w:type="dxa"/>
            <w:tcBorders>
              <w:top w:val="single" w:sz="8" w:space="0" w:color="000000"/>
              <w:left w:val="single" w:sz="8" w:space="0" w:color="000000"/>
              <w:right w:val="single" w:sz="8" w:space="0" w:color="000000"/>
            </w:tcBorders>
          </w:tcPr>
          <w:p>
            <w:pPr>
              <w:pStyle w:val="TableParagraph"/>
              <w:spacing w:before="45"/>
              <w:ind w:right="54"/>
              <w:jc w:val="right"/>
              <w:rPr>
                <w:b/>
                <w:sz w:val="14"/>
              </w:rPr>
            </w:pPr>
            <w:r>
              <w:rPr>
                <w:b/>
                <w:spacing w:val="-2"/>
                <w:sz w:val="14"/>
              </w:rPr>
              <w:t>104,599</w:t>
            </w:r>
          </w:p>
        </w:tc>
        <w:tc>
          <w:tcPr>
            <w:tcW w:w="773" w:type="dxa"/>
            <w:tcBorders>
              <w:top w:val="single" w:sz="8" w:space="0" w:color="000000"/>
              <w:left w:val="single" w:sz="8" w:space="0" w:color="000000"/>
              <w:right w:val="single" w:sz="8" w:space="0" w:color="000000"/>
            </w:tcBorders>
          </w:tcPr>
          <w:p>
            <w:pPr>
              <w:pStyle w:val="TableParagraph"/>
              <w:spacing w:before="45"/>
              <w:ind w:left="241"/>
              <w:rPr>
                <w:b/>
                <w:sz w:val="14"/>
              </w:rPr>
            </w:pPr>
            <w:r>
              <w:rPr>
                <w:b/>
                <w:spacing w:val="-2"/>
                <w:sz w:val="14"/>
              </w:rPr>
              <w:t>127,335</w:t>
            </w:r>
          </w:p>
        </w:tc>
        <w:tc>
          <w:tcPr>
            <w:tcW w:w="773" w:type="dxa"/>
            <w:tcBorders>
              <w:top w:val="single" w:sz="8" w:space="0" w:color="000000"/>
              <w:left w:val="single" w:sz="8" w:space="0" w:color="000000"/>
              <w:right w:val="single" w:sz="8" w:space="0" w:color="000000"/>
            </w:tcBorders>
          </w:tcPr>
          <w:p>
            <w:pPr>
              <w:pStyle w:val="TableParagraph"/>
              <w:spacing w:before="45"/>
              <w:ind w:right="54"/>
              <w:jc w:val="right"/>
              <w:rPr>
                <w:b/>
                <w:sz w:val="14"/>
              </w:rPr>
            </w:pPr>
            <w:r>
              <w:rPr>
                <w:b/>
                <w:spacing w:val="-2"/>
                <w:sz w:val="14"/>
              </w:rPr>
              <w:t>152,820</w:t>
            </w:r>
          </w:p>
        </w:tc>
        <w:tc>
          <w:tcPr>
            <w:tcW w:w="773" w:type="dxa"/>
            <w:tcBorders>
              <w:top w:val="single" w:sz="8" w:space="0" w:color="000000"/>
              <w:left w:val="single" w:sz="8" w:space="0" w:color="000000"/>
              <w:right w:val="single" w:sz="8" w:space="0" w:color="000000"/>
            </w:tcBorders>
          </w:tcPr>
          <w:p>
            <w:pPr>
              <w:pStyle w:val="TableParagraph"/>
              <w:spacing w:before="45"/>
              <w:ind w:right="53"/>
              <w:jc w:val="right"/>
              <w:rPr>
                <w:b/>
                <w:sz w:val="14"/>
              </w:rPr>
            </w:pPr>
            <w:r>
              <w:rPr>
                <w:b/>
                <w:spacing w:val="-2"/>
                <w:sz w:val="14"/>
              </w:rPr>
              <w:t>82,101</w:t>
            </w:r>
          </w:p>
        </w:tc>
        <w:tc>
          <w:tcPr>
            <w:tcW w:w="773" w:type="dxa"/>
            <w:tcBorders>
              <w:top w:val="single" w:sz="8" w:space="0" w:color="000000"/>
              <w:left w:val="single" w:sz="8" w:space="0" w:color="000000"/>
              <w:right w:val="single" w:sz="8" w:space="0" w:color="000000"/>
            </w:tcBorders>
          </w:tcPr>
          <w:p>
            <w:pPr>
              <w:pStyle w:val="TableParagraph"/>
              <w:spacing w:before="45"/>
              <w:ind w:right="53"/>
              <w:jc w:val="right"/>
              <w:rPr>
                <w:b/>
                <w:sz w:val="14"/>
              </w:rPr>
            </w:pPr>
            <w:r>
              <w:rPr>
                <w:b/>
                <w:spacing w:val="-2"/>
                <w:sz w:val="14"/>
              </w:rPr>
              <w:t>50,495</w:t>
            </w:r>
          </w:p>
        </w:tc>
        <w:tc>
          <w:tcPr>
            <w:tcW w:w="774" w:type="dxa"/>
            <w:tcBorders>
              <w:top w:val="single" w:sz="8" w:space="0" w:color="000000"/>
              <w:left w:val="single" w:sz="8" w:space="0" w:color="000000"/>
              <w:right w:val="single" w:sz="8" w:space="0" w:color="000000"/>
            </w:tcBorders>
          </w:tcPr>
          <w:p>
            <w:pPr>
              <w:pStyle w:val="TableParagraph"/>
              <w:spacing w:before="45"/>
              <w:ind w:right="54"/>
              <w:jc w:val="right"/>
              <w:rPr>
                <w:b/>
                <w:sz w:val="14"/>
              </w:rPr>
            </w:pPr>
            <w:r>
              <w:rPr>
                <w:b/>
                <w:spacing w:val="-2"/>
                <w:sz w:val="14"/>
              </w:rPr>
              <w:t>0,144</w:t>
            </w:r>
          </w:p>
        </w:tc>
        <w:tc>
          <w:tcPr>
            <w:tcW w:w="773" w:type="dxa"/>
            <w:tcBorders>
              <w:top w:val="single" w:sz="8" w:space="0" w:color="000000"/>
              <w:left w:val="single" w:sz="8" w:space="0" w:color="000000"/>
              <w:right w:val="single" w:sz="8" w:space="0" w:color="000000"/>
            </w:tcBorders>
          </w:tcPr>
          <w:p>
            <w:pPr>
              <w:pStyle w:val="TableParagraph"/>
              <w:spacing w:before="45"/>
              <w:ind w:right="54"/>
              <w:jc w:val="right"/>
              <w:rPr>
                <w:b/>
                <w:sz w:val="14"/>
              </w:rPr>
            </w:pPr>
            <w:r>
              <w:rPr>
                <w:b/>
                <w:spacing w:val="-2"/>
                <w:sz w:val="14"/>
              </w:rPr>
              <w:t>0,144</w:t>
            </w:r>
          </w:p>
        </w:tc>
        <w:tc>
          <w:tcPr>
            <w:tcW w:w="773" w:type="dxa"/>
            <w:tcBorders>
              <w:top w:val="single" w:sz="8" w:space="0" w:color="000000"/>
              <w:left w:val="single" w:sz="8" w:space="0" w:color="000000"/>
              <w:right w:val="single" w:sz="8" w:space="0" w:color="000000"/>
            </w:tcBorders>
          </w:tcPr>
          <w:p>
            <w:pPr>
              <w:pStyle w:val="TableParagraph"/>
              <w:spacing w:before="45"/>
              <w:ind w:right="54"/>
              <w:jc w:val="right"/>
              <w:rPr>
                <w:b/>
                <w:sz w:val="14"/>
              </w:rPr>
            </w:pPr>
            <w:r>
              <w:rPr>
                <w:b/>
                <w:spacing w:val="-2"/>
                <w:sz w:val="14"/>
              </w:rPr>
              <w:t>0,144</w:t>
            </w:r>
          </w:p>
        </w:tc>
        <w:tc>
          <w:tcPr>
            <w:tcW w:w="773" w:type="dxa"/>
            <w:tcBorders>
              <w:top w:val="single" w:sz="8" w:space="0" w:color="000000"/>
              <w:left w:val="single" w:sz="8" w:space="0" w:color="000000"/>
              <w:right w:val="single" w:sz="8" w:space="0" w:color="000000"/>
            </w:tcBorders>
          </w:tcPr>
          <w:p>
            <w:pPr>
              <w:pStyle w:val="TableParagraph"/>
              <w:spacing w:before="45"/>
              <w:ind w:right="54"/>
              <w:jc w:val="right"/>
              <w:rPr>
                <w:b/>
                <w:sz w:val="14"/>
              </w:rPr>
            </w:pPr>
            <w:r>
              <w:rPr>
                <w:b/>
                <w:spacing w:val="-2"/>
                <w:sz w:val="14"/>
              </w:rPr>
              <w:t>0,144</w:t>
            </w:r>
          </w:p>
        </w:tc>
        <w:tc>
          <w:tcPr>
            <w:tcW w:w="773" w:type="dxa"/>
            <w:tcBorders>
              <w:top w:val="single" w:sz="8" w:space="0" w:color="000000"/>
              <w:left w:val="single" w:sz="8" w:space="0" w:color="000000"/>
            </w:tcBorders>
          </w:tcPr>
          <w:p>
            <w:pPr>
              <w:pStyle w:val="TableParagraph"/>
              <w:spacing w:before="45"/>
              <w:ind w:right="59"/>
              <w:jc w:val="right"/>
              <w:rPr>
                <w:b/>
                <w:sz w:val="14"/>
              </w:rPr>
            </w:pPr>
            <w:r>
              <w:rPr>
                <w:b/>
                <w:spacing w:val="-2"/>
                <w:sz w:val="14"/>
              </w:rPr>
              <w:t>0,144</w:t>
            </w:r>
          </w:p>
        </w:tc>
      </w:tr>
    </w:tbl>
    <w:p>
      <w:pPr>
        <w:spacing w:before="1"/>
        <w:ind w:left="176" w:right="0" w:firstLine="0"/>
        <w:jc w:val="left"/>
        <w:rPr>
          <w:i/>
          <w:sz w:val="14"/>
        </w:rPr>
      </w:pPr>
      <w:r>
        <w:rPr>
          <w:i/>
          <w:sz w:val="14"/>
        </w:rPr>
        <w:t>(*)</w:t>
      </w:r>
      <w:r>
        <w:rPr>
          <w:i/>
          <w:spacing w:val="-6"/>
          <w:sz w:val="14"/>
        </w:rPr>
        <w:t> </w:t>
      </w:r>
      <w:r>
        <w:rPr>
          <w:i/>
          <w:sz w:val="14"/>
        </w:rPr>
        <w:t>cifras</w:t>
      </w:r>
      <w:r>
        <w:rPr>
          <w:i/>
          <w:spacing w:val="-3"/>
          <w:sz w:val="14"/>
        </w:rPr>
        <w:t> </w:t>
      </w:r>
      <w:r>
        <w:rPr>
          <w:i/>
          <w:sz w:val="14"/>
        </w:rPr>
        <w:t>expresadas</w:t>
      </w:r>
      <w:r>
        <w:rPr>
          <w:i/>
          <w:spacing w:val="-5"/>
          <w:sz w:val="14"/>
        </w:rPr>
        <w:t> </w:t>
      </w:r>
      <w:r>
        <w:rPr>
          <w:i/>
          <w:sz w:val="14"/>
        </w:rPr>
        <w:t>en</w:t>
      </w:r>
      <w:r>
        <w:rPr>
          <w:i/>
          <w:spacing w:val="-4"/>
          <w:sz w:val="14"/>
        </w:rPr>
        <w:t> </w:t>
      </w:r>
      <w:r>
        <w:rPr>
          <w:i/>
          <w:sz w:val="14"/>
        </w:rPr>
        <w:t>millones</w:t>
      </w:r>
      <w:r>
        <w:rPr>
          <w:i/>
          <w:spacing w:val="-4"/>
          <w:sz w:val="14"/>
        </w:rPr>
        <w:t> </w:t>
      </w:r>
      <w:r>
        <w:rPr>
          <w:i/>
          <w:sz w:val="14"/>
        </w:rPr>
        <w:t>de</w:t>
      </w:r>
      <w:r>
        <w:rPr>
          <w:i/>
          <w:spacing w:val="-5"/>
          <w:sz w:val="14"/>
        </w:rPr>
        <w:t> </w:t>
      </w:r>
      <w:r>
        <w:rPr>
          <w:i/>
          <w:spacing w:val="-4"/>
          <w:sz w:val="14"/>
        </w:rPr>
        <w:t>euros</w:t>
      </w:r>
    </w:p>
    <w:p>
      <w:pPr>
        <w:pStyle w:val="BodyText"/>
        <w:spacing w:before="100"/>
        <w:rPr>
          <w:i/>
          <w:sz w:val="14"/>
        </w:rPr>
      </w:pPr>
    </w:p>
    <w:p>
      <w:pPr>
        <w:pStyle w:val="BodyText"/>
        <w:spacing w:line="247" w:lineRule="auto" w:before="1"/>
        <w:ind w:left="993" w:right="837"/>
        <w:jc w:val="both"/>
      </w:pPr>
      <w:r>
        <w:rPr/>
        <w:t>En la cláusula VI de la Adenda Modificativa se indica que la Sociedad elaborará durante el primer semestre</w:t>
      </w:r>
      <w:r>
        <w:rPr>
          <w:spacing w:val="-7"/>
        </w:rPr>
        <w:t> </w:t>
      </w:r>
      <w:r>
        <w:rPr/>
        <w:t>de</w:t>
      </w:r>
      <w:r>
        <w:rPr>
          <w:spacing w:val="-7"/>
        </w:rPr>
        <w:t> </w:t>
      </w:r>
      <w:r>
        <w:rPr/>
        <w:t>cada</w:t>
      </w:r>
      <w:r>
        <w:rPr>
          <w:spacing w:val="-7"/>
        </w:rPr>
        <w:t> </w:t>
      </w:r>
      <w:r>
        <w:rPr/>
        <w:t>año</w:t>
      </w:r>
      <w:r>
        <w:rPr>
          <w:spacing w:val="-6"/>
        </w:rPr>
        <w:t> </w:t>
      </w:r>
      <w:r>
        <w:rPr/>
        <w:t>una</w:t>
      </w:r>
      <w:r>
        <w:rPr>
          <w:spacing w:val="-7"/>
        </w:rPr>
        <w:t> </w:t>
      </w:r>
      <w:r>
        <w:rPr/>
        <w:t>planificación</w:t>
      </w:r>
      <w:r>
        <w:rPr>
          <w:spacing w:val="-6"/>
        </w:rPr>
        <w:t> </w:t>
      </w:r>
      <w:r>
        <w:rPr/>
        <w:t>anual</w:t>
      </w:r>
      <w:r>
        <w:rPr>
          <w:spacing w:val="-7"/>
        </w:rPr>
        <w:t> </w:t>
      </w:r>
      <w:r>
        <w:rPr/>
        <w:t>y</w:t>
      </w:r>
      <w:r>
        <w:rPr>
          <w:spacing w:val="-8"/>
        </w:rPr>
        <w:t> </w:t>
      </w:r>
      <w:r>
        <w:rPr/>
        <w:t>plurianual,</w:t>
      </w:r>
      <w:r>
        <w:rPr>
          <w:spacing w:val="-6"/>
        </w:rPr>
        <w:t> </w:t>
      </w:r>
      <w:r>
        <w:rPr/>
        <w:t>donde</w:t>
      </w:r>
      <w:r>
        <w:rPr>
          <w:spacing w:val="-7"/>
        </w:rPr>
        <w:t> </w:t>
      </w:r>
      <w:r>
        <w:rPr/>
        <w:t>se</w:t>
      </w:r>
      <w:r>
        <w:rPr>
          <w:spacing w:val="-9"/>
        </w:rPr>
        <w:t> </w:t>
      </w:r>
      <w:r>
        <w:rPr/>
        <w:t>programen</w:t>
      </w:r>
      <w:r>
        <w:rPr>
          <w:spacing w:val="-7"/>
        </w:rPr>
        <w:t> </w:t>
      </w:r>
      <w:r>
        <w:rPr/>
        <w:t>las</w:t>
      </w:r>
      <w:r>
        <w:rPr>
          <w:spacing w:val="-7"/>
        </w:rPr>
        <w:t> </w:t>
      </w:r>
      <w:r>
        <w:rPr/>
        <w:t>acciones</w:t>
      </w:r>
      <w:r>
        <w:rPr>
          <w:spacing w:val="-7"/>
        </w:rPr>
        <w:t> </w:t>
      </w:r>
      <w:r>
        <w:rPr/>
        <w:t>a</w:t>
      </w:r>
      <w:r>
        <w:rPr>
          <w:spacing w:val="-7"/>
        </w:rPr>
        <w:t> </w:t>
      </w:r>
      <w:r>
        <w:rPr/>
        <w:t>efectuar en</w:t>
      </w:r>
      <w:r>
        <w:rPr>
          <w:spacing w:val="-4"/>
        </w:rPr>
        <w:t> </w:t>
      </w:r>
      <w:r>
        <w:rPr/>
        <w:t>los</w:t>
      </w:r>
      <w:r>
        <w:rPr>
          <w:spacing w:val="-5"/>
        </w:rPr>
        <w:t> </w:t>
      </w:r>
      <w:r>
        <w:rPr/>
        <w:t>siguientes</w:t>
      </w:r>
      <w:r>
        <w:rPr>
          <w:spacing w:val="-5"/>
        </w:rPr>
        <w:t> </w:t>
      </w:r>
      <w:r>
        <w:rPr/>
        <w:t>ejercicios</w:t>
      </w:r>
      <w:r>
        <w:rPr>
          <w:spacing w:val="-4"/>
        </w:rPr>
        <w:t> </w:t>
      </w:r>
      <w:r>
        <w:rPr/>
        <w:t>y</w:t>
      </w:r>
      <w:r>
        <w:rPr>
          <w:spacing w:val="-4"/>
        </w:rPr>
        <w:t> </w:t>
      </w:r>
      <w:r>
        <w:rPr/>
        <w:t>se</w:t>
      </w:r>
      <w:r>
        <w:rPr>
          <w:spacing w:val="-5"/>
        </w:rPr>
        <w:t> </w:t>
      </w:r>
      <w:r>
        <w:rPr/>
        <w:t>concreten</w:t>
      </w:r>
      <w:r>
        <w:rPr>
          <w:spacing w:val="-4"/>
        </w:rPr>
        <w:t> </w:t>
      </w:r>
      <w:r>
        <w:rPr/>
        <w:t>las</w:t>
      </w:r>
      <w:r>
        <w:rPr>
          <w:spacing w:val="-5"/>
        </w:rPr>
        <w:t> </w:t>
      </w:r>
      <w:r>
        <w:rPr/>
        <w:t>necesidades</w:t>
      </w:r>
      <w:r>
        <w:rPr>
          <w:spacing w:val="-5"/>
        </w:rPr>
        <w:t> </w:t>
      </w:r>
      <w:r>
        <w:rPr/>
        <w:t>económicas,</w:t>
      </w:r>
      <w:r>
        <w:rPr>
          <w:spacing w:val="-4"/>
        </w:rPr>
        <w:t> </w:t>
      </w:r>
      <w:r>
        <w:rPr/>
        <w:t>que</w:t>
      </w:r>
      <w:r>
        <w:rPr>
          <w:spacing w:val="-5"/>
        </w:rPr>
        <w:t> </w:t>
      </w:r>
      <w:r>
        <w:rPr/>
        <w:t>deberá</w:t>
      </w:r>
      <w:r>
        <w:rPr>
          <w:spacing w:val="-5"/>
        </w:rPr>
        <w:t> </w:t>
      </w:r>
      <w:r>
        <w:rPr/>
        <w:t>ser</w:t>
      </w:r>
      <w:r>
        <w:rPr>
          <w:spacing w:val="-5"/>
        </w:rPr>
        <w:t> </w:t>
      </w:r>
      <w:r>
        <w:rPr/>
        <w:t>aprobada</w:t>
      </w:r>
      <w:r>
        <w:rPr>
          <w:spacing w:val="-5"/>
        </w:rPr>
        <w:t> </w:t>
      </w:r>
      <w:r>
        <w:rPr/>
        <w:t>por</w:t>
      </w:r>
      <w:r>
        <w:rPr>
          <w:spacing w:val="-4"/>
        </w:rPr>
        <w:t> </w:t>
      </w:r>
      <w:r>
        <w:rPr/>
        <w:t>el Consejo de Administración de la Sociedad, y comunicada a los socios de modo que éstos la puedan incluir en sus presupuestos para su desembolso en el primer semestre del año.</w:t>
      </w:r>
    </w:p>
    <w:p>
      <w:pPr>
        <w:pStyle w:val="BodyText"/>
        <w:spacing w:line="247" w:lineRule="auto" w:before="119"/>
        <w:ind w:left="995" w:right="847"/>
        <w:jc w:val="both"/>
      </w:pPr>
      <w:r>
        <w:rPr/>
        <w:t>Por ello, en el primer semestre de 2019, se realiza un reajuste de anualidades por la Sociedad, comunicado a los socios, las cantidades ajustadas son las siguientes:</w:t>
      </w:r>
    </w:p>
    <w:p>
      <w:pPr>
        <w:pStyle w:val="BodyText"/>
        <w:spacing w:before="4" w:after="1"/>
        <w:rPr>
          <w:sz w:val="10"/>
        </w:rPr>
      </w:pPr>
    </w:p>
    <w:tbl>
      <w:tblPr>
        <w:tblW w:w="0" w:type="auto"/>
        <w:jc w:val="left"/>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3"/>
        <w:gridCol w:w="774"/>
        <w:gridCol w:w="773"/>
        <w:gridCol w:w="773"/>
        <w:gridCol w:w="773"/>
        <w:gridCol w:w="773"/>
        <w:gridCol w:w="773"/>
        <w:gridCol w:w="774"/>
        <w:gridCol w:w="773"/>
        <w:gridCol w:w="773"/>
        <w:gridCol w:w="773"/>
        <w:gridCol w:w="773"/>
      </w:tblGrid>
      <w:tr>
        <w:trPr>
          <w:trHeight w:val="251" w:hRule="atLeast"/>
        </w:trPr>
        <w:tc>
          <w:tcPr>
            <w:tcW w:w="1833" w:type="dxa"/>
            <w:tcBorders>
              <w:bottom w:val="single" w:sz="8" w:space="0" w:color="000000"/>
              <w:right w:val="single" w:sz="8" w:space="0" w:color="000000"/>
            </w:tcBorders>
          </w:tcPr>
          <w:p>
            <w:pPr>
              <w:pStyle w:val="TableParagraph"/>
              <w:spacing w:before="46"/>
              <w:ind w:left="14" w:right="3"/>
              <w:jc w:val="center"/>
              <w:rPr>
                <w:b/>
                <w:sz w:val="14"/>
              </w:rPr>
            </w:pPr>
            <w:r>
              <w:rPr>
                <w:b/>
                <w:spacing w:val="-2"/>
                <w:sz w:val="14"/>
              </w:rPr>
              <w:t>Aportaciones</w:t>
            </w:r>
            <w:r>
              <w:rPr>
                <w:b/>
                <w:spacing w:val="15"/>
                <w:sz w:val="14"/>
              </w:rPr>
              <w:t> </w:t>
            </w:r>
            <w:r>
              <w:rPr>
                <w:b/>
                <w:spacing w:val="-2"/>
                <w:sz w:val="14"/>
              </w:rPr>
              <w:t>Accionistas</w:t>
            </w:r>
          </w:p>
        </w:tc>
        <w:tc>
          <w:tcPr>
            <w:tcW w:w="774" w:type="dxa"/>
            <w:tcBorders>
              <w:left w:val="single" w:sz="8" w:space="0" w:color="000000"/>
              <w:bottom w:val="single" w:sz="8" w:space="0" w:color="000000"/>
              <w:right w:val="single" w:sz="8" w:space="0" w:color="000000"/>
            </w:tcBorders>
          </w:tcPr>
          <w:p>
            <w:pPr>
              <w:pStyle w:val="TableParagraph"/>
              <w:spacing w:before="46"/>
              <w:ind w:right="125"/>
              <w:jc w:val="right"/>
              <w:rPr>
                <w:b/>
                <w:sz w:val="14"/>
              </w:rPr>
            </w:pPr>
            <w:r>
              <w:rPr>
                <w:b/>
                <w:spacing w:val="-2"/>
                <w:sz w:val="14"/>
              </w:rPr>
              <w:t>TOTAL</w:t>
            </w:r>
          </w:p>
        </w:tc>
        <w:tc>
          <w:tcPr>
            <w:tcW w:w="773" w:type="dxa"/>
            <w:tcBorders>
              <w:left w:val="single" w:sz="8" w:space="0" w:color="000000"/>
              <w:bottom w:val="single" w:sz="8" w:space="0" w:color="000000"/>
              <w:right w:val="single" w:sz="8" w:space="0" w:color="000000"/>
            </w:tcBorders>
          </w:tcPr>
          <w:p>
            <w:pPr>
              <w:pStyle w:val="TableParagraph"/>
              <w:spacing w:before="46"/>
              <w:ind w:left="240"/>
              <w:rPr>
                <w:b/>
                <w:sz w:val="14"/>
              </w:rPr>
            </w:pPr>
            <w:r>
              <w:rPr>
                <w:b/>
                <w:spacing w:val="-4"/>
                <w:sz w:val="14"/>
              </w:rPr>
              <w:t>2019</w:t>
            </w:r>
          </w:p>
        </w:tc>
        <w:tc>
          <w:tcPr>
            <w:tcW w:w="773" w:type="dxa"/>
            <w:tcBorders>
              <w:left w:val="single" w:sz="8" w:space="0" w:color="000000"/>
              <w:bottom w:val="single" w:sz="8" w:space="0" w:color="000000"/>
              <w:right w:val="single" w:sz="8" w:space="0" w:color="000000"/>
            </w:tcBorders>
          </w:tcPr>
          <w:p>
            <w:pPr>
              <w:pStyle w:val="TableParagraph"/>
              <w:spacing w:before="46"/>
              <w:ind w:left="240"/>
              <w:rPr>
                <w:b/>
                <w:sz w:val="14"/>
              </w:rPr>
            </w:pPr>
            <w:r>
              <w:rPr>
                <w:b/>
                <w:spacing w:val="-4"/>
                <w:sz w:val="14"/>
              </w:rPr>
              <w:t>2020</w:t>
            </w:r>
          </w:p>
        </w:tc>
        <w:tc>
          <w:tcPr>
            <w:tcW w:w="773" w:type="dxa"/>
            <w:tcBorders>
              <w:left w:val="single" w:sz="8" w:space="0" w:color="000000"/>
              <w:bottom w:val="single" w:sz="8" w:space="0" w:color="000000"/>
              <w:right w:val="single" w:sz="8" w:space="0" w:color="000000"/>
            </w:tcBorders>
          </w:tcPr>
          <w:p>
            <w:pPr>
              <w:pStyle w:val="TableParagraph"/>
              <w:spacing w:before="46"/>
              <w:ind w:left="240"/>
              <w:rPr>
                <w:b/>
                <w:sz w:val="14"/>
              </w:rPr>
            </w:pPr>
            <w:r>
              <w:rPr>
                <w:b/>
                <w:spacing w:val="-4"/>
                <w:sz w:val="14"/>
              </w:rPr>
              <w:t>2021</w:t>
            </w:r>
          </w:p>
        </w:tc>
        <w:tc>
          <w:tcPr>
            <w:tcW w:w="773" w:type="dxa"/>
            <w:tcBorders>
              <w:left w:val="single" w:sz="8" w:space="0" w:color="000000"/>
              <w:bottom w:val="single" w:sz="8" w:space="0" w:color="000000"/>
              <w:right w:val="single" w:sz="8" w:space="0" w:color="000000"/>
            </w:tcBorders>
          </w:tcPr>
          <w:p>
            <w:pPr>
              <w:pStyle w:val="TableParagraph"/>
              <w:spacing w:before="46"/>
              <w:ind w:left="241"/>
              <w:rPr>
                <w:b/>
                <w:sz w:val="14"/>
              </w:rPr>
            </w:pPr>
            <w:r>
              <w:rPr>
                <w:b/>
                <w:spacing w:val="-4"/>
                <w:sz w:val="14"/>
              </w:rPr>
              <w:t>2022</w:t>
            </w:r>
          </w:p>
        </w:tc>
        <w:tc>
          <w:tcPr>
            <w:tcW w:w="773" w:type="dxa"/>
            <w:tcBorders>
              <w:left w:val="single" w:sz="8" w:space="0" w:color="000000"/>
              <w:bottom w:val="single" w:sz="8" w:space="0" w:color="000000"/>
              <w:right w:val="single" w:sz="8" w:space="0" w:color="000000"/>
            </w:tcBorders>
          </w:tcPr>
          <w:p>
            <w:pPr>
              <w:pStyle w:val="TableParagraph"/>
              <w:spacing w:before="46"/>
              <w:ind w:left="241"/>
              <w:rPr>
                <w:b/>
                <w:sz w:val="14"/>
              </w:rPr>
            </w:pPr>
            <w:r>
              <w:rPr>
                <w:b/>
                <w:spacing w:val="-4"/>
                <w:sz w:val="14"/>
              </w:rPr>
              <w:t>2023</w:t>
            </w:r>
          </w:p>
        </w:tc>
        <w:tc>
          <w:tcPr>
            <w:tcW w:w="774" w:type="dxa"/>
            <w:tcBorders>
              <w:left w:val="single" w:sz="8" w:space="0" w:color="000000"/>
              <w:bottom w:val="single" w:sz="8" w:space="0" w:color="000000"/>
              <w:right w:val="single" w:sz="8" w:space="0" w:color="000000"/>
            </w:tcBorders>
          </w:tcPr>
          <w:p>
            <w:pPr>
              <w:pStyle w:val="TableParagraph"/>
              <w:spacing w:before="46"/>
              <w:ind w:left="241"/>
              <w:rPr>
                <w:b/>
                <w:sz w:val="14"/>
              </w:rPr>
            </w:pPr>
            <w:r>
              <w:rPr>
                <w:b/>
                <w:spacing w:val="-4"/>
                <w:sz w:val="14"/>
              </w:rPr>
              <w:t>2024</w:t>
            </w:r>
          </w:p>
        </w:tc>
        <w:tc>
          <w:tcPr>
            <w:tcW w:w="773" w:type="dxa"/>
            <w:tcBorders>
              <w:left w:val="single" w:sz="8" w:space="0" w:color="000000"/>
              <w:bottom w:val="single" w:sz="8" w:space="0" w:color="000000"/>
              <w:right w:val="single" w:sz="8" w:space="0" w:color="000000"/>
            </w:tcBorders>
          </w:tcPr>
          <w:p>
            <w:pPr>
              <w:pStyle w:val="TableParagraph"/>
              <w:spacing w:before="46"/>
              <w:ind w:left="240"/>
              <w:rPr>
                <w:b/>
                <w:sz w:val="14"/>
              </w:rPr>
            </w:pPr>
            <w:r>
              <w:rPr>
                <w:b/>
                <w:spacing w:val="-4"/>
                <w:sz w:val="14"/>
              </w:rPr>
              <w:t>2025</w:t>
            </w:r>
          </w:p>
        </w:tc>
        <w:tc>
          <w:tcPr>
            <w:tcW w:w="773" w:type="dxa"/>
            <w:tcBorders>
              <w:left w:val="single" w:sz="8" w:space="0" w:color="000000"/>
              <w:bottom w:val="single" w:sz="8" w:space="0" w:color="000000"/>
              <w:right w:val="single" w:sz="8" w:space="0" w:color="000000"/>
            </w:tcBorders>
          </w:tcPr>
          <w:p>
            <w:pPr>
              <w:pStyle w:val="TableParagraph"/>
              <w:spacing w:before="46"/>
              <w:ind w:left="240"/>
              <w:rPr>
                <w:b/>
                <w:sz w:val="14"/>
              </w:rPr>
            </w:pPr>
            <w:r>
              <w:rPr>
                <w:b/>
                <w:spacing w:val="-4"/>
                <w:sz w:val="14"/>
              </w:rPr>
              <w:t>2026</w:t>
            </w:r>
          </w:p>
        </w:tc>
        <w:tc>
          <w:tcPr>
            <w:tcW w:w="773" w:type="dxa"/>
            <w:tcBorders>
              <w:left w:val="single" w:sz="8" w:space="0" w:color="000000"/>
              <w:bottom w:val="single" w:sz="8" w:space="0" w:color="000000"/>
              <w:right w:val="single" w:sz="8" w:space="0" w:color="000000"/>
            </w:tcBorders>
          </w:tcPr>
          <w:p>
            <w:pPr>
              <w:pStyle w:val="TableParagraph"/>
              <w:spacing w:before="46"/>
              <w:ind w:left="240"/>
              <w:rPr>
                <w:b/>
                <w:sz w:val="14"/>
              </w:rPr>
            </w:pPr>
            <w:r>
              <w:rPr>
                <w:b/>
                <w:spacing w:val="-4"/>
                <w:sz w:val="14"/>
              </w:rPr>
              <w:t>2027</w:t>
            </w:r>
          </w:p>
        </w:tc>
        <w:tc>
          <w:tcPr>
            <w:tcW w:w="773" w:type="dxa"/>
            <w:tcBorders>
              <w:left w:val="single" w:sz="8" w:space="0" w:color="000000"/>
              <w:bottom w:val="single" w:sz="8" w:space="0" w:color="000000"/>
            </w:tcBorders>
          </w:tcPr>
          <w:p>
            <w:pPr>
              <w:pStyle w:val="TableParagraph"/>
              <w:spacing w:before="46"/>
              <w:ind w:left="239"/>
              <w:rPr>
                <w:b/>
                <w:sz w:val="14"/>
              </w:rPr>
            </w:pPr>
            <w:r>
              <w:rPr>
                <w:b/>
                <w:spacing w:val="-4"/>
                <w:sz w:val="14"/>
              </w:rPr>
              <w:t>2028</w:t>
            </w:r>
          </w:p>
        </w:tc>
      </w:tr>
      <w:tr>
        <w:trPr>
          <w:trHeight w:val="252" w:hRule="atLeast"/>
        </w:trPr>
        <w:tc>
          <w:tcPr>
            <w:tcW w:w="1833" w:type="dxa"/>
            <w:tcBorders>
              <w:top w:val="single" w:sz="8" w:space="0" w:color="000000"/>
              <w:bottom w:val="single" w:sz="8" w:space="0" w:color="000000"/>
              <w:right w:val="single" w:sz="8" w:space="0" w:color="000000"/>
            </w:tcBorders>
          </w:tcPr>
          <w:p>
            <w:pPr>
              <w:pStyle w:val="TableParagraph"/>
              <w:spacing w:before="46"/>
              <w:ind w:left="14"/>
              <w:jc w:val="center"/>
              <w:rPr>
                <w:sz w:val="14"/>
              </w:rPr>
            </w:pPr>
            <w:r>
              <w:rPr>
                <w:spacing w:val="-2"/>
                <w:sz w:val="14"/>
              </w:rPr>
              <w:t>ADIF-</w:t>
            </w:r>
            <w:r>
              <w:rPr>
                <w:spacing w:val="-5"/>
                <w:sz w:val="14"/>
              </w:rPr>
              <w:t>AV</w:t>
            </w:r>
          </w:p>
        </w:tc>
        <w:tc>
          <w:tcPr>
            <w:tcW w:w="774"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341,926</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46,370</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72,798</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72,427</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3"/>
              <w:jc w:val="right"/>
              <w:rPr>
                <w:sz w:val="14"/>
              </w:rPr>
            </w:pPr>
            <w:r>
              <w:rPr>
                <w:spacing w:val="-2"/>
                <w:sz w:val="14"/>
              </w:rPr>
              <w:t>99,929</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3"/>
              <w:jc w:val="right"/>
              <w:rPr>
                <w:sz w:val="14"/>
              </w:rPr>
            </w:pPr>
            <w:r>
              <w:rPr>
                <w:spacing w:val="-2"/>
                <w:sz w:val="14"/>
              </w:rPr>
              <w:t>36,998</w:t>
            </w:r>
          </w:p>
        </w:tc>
        <w:tc>
          <w:tcPr>
            <w:tcW w:w="774"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11,106</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1,985</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0,104</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0,104</w:t>
            </w:r>
          </w:p>
        </w:tc>
        <w:tc>
          <w:tcPr>
            <w:tcW w:w="773" w:type="dxa"/>
            <w:tcBorders>
              <w:top w:val="single" w:sz="8" w:space="0" w:color="000000"/>
              <w:left w:val="single" w:sz="8" w:space="0" w:color="000000"/>
              <w:bottom w:val="single" w:sz="8" w:space="0" w:color="000000"/>
            </w:tcBorders>
          </w:tcPr>
          <w:p>
            <w:pPr>
              <w:pStyle w:val="TableParagraph"/>
              <w:spacing w:before="46"/>
              <w:ind w:right="59"/>
              <w:jc w:val="right"/>
              <w:rPr>
                <w:sz w:val="14"/>
              </w:rPr>
            </w:pPr>
            <w:r>
              <w:rPr>
                <w:spacing w:val="-2"/>
                <w:sz w:val="14"/>
              </w:rPr>
              <w:t>0,105</w:t>
            </w:r>
          </w:p>
        </w:tc>
      </w:tr>
      <w:tr>
        <w:trPr>
          <w:trHeight w:val="251" w:hRule="atLeast"/>
        </w:trPr>
        <w:tc>
          <w:tcPr>
            <w:tcW w:w="1833" w:type="dxa"/>
            <w:tcBorders>
              <w:top w:val="single" w:sz="8" w:space="0" w:color="000000"/>
              <w:bottom w:val="single" w:sz="8" w:space="0" w:color="000000"/>
              <w:right w:val="single" w:sz="8" w:space="0" w:color="000000"/>
            </w:tcBorders>
          </w:tcPr>
          <w:p>
            <w:pPr>
              <w:pStyle w:val="TableParagraph"/>
              <w:spacing w:before="45"/>
              <w:ind w:left="14" w:right="1"/>
              <w:jc w:val="center"/>
              <w:rPr>
                <w:sz w:val="14"/>
              </w:rPr>
            </w:pPr>
            <w:r>
              <w:rPr>
                <w:sz w:val="14"/>
              </w:rPr>
              <w:t>Región</w:t>
            </w:r>
            <w:r>
              <w:rPr>
                <w:spacing w:val="-5"/>
                <w:sz w:val="14"/>
              </w:rPr>
              <w:t> </w:t>
            </w:r>
            <w:r>
              <w:rPr>
                <w:sz w:val="14"/>
              </w:rPr>
              <w:t>de</w:t>
            </w:r>
            <w:r>
              <w:rPr>
                <w:spacing w:val="-1"/>
                <w:sz w:val="14"/>
              </w:rPr>
              <w:t> </w:t>
            </w:r>
            <w:r>
              <w:rPr>
                <w:spacing w:val="-2"/>
                <w:sz w:val="14"/>
              </w:rPr>
              <w:t>Murcia</w:t>
            </w:r>
          </w:p>
        </w:tc>
        <w:tc>
          <w:tcPr>
            <w:tcW w:w="774"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134,698</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18,267</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28,678</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28,532</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3"/>
              <w:jc w:val="right"/>
              <w:rPr>
                <w:sz w:val="14"/>
              </w:rPr>
            </w:pPr>
            <w:r>
              <w:rPr>
                <w:spacing w:val="-2"/>
                <w:sz w:val="14"/>
              </w:rPr>
              <w:t>39,366</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3"/>
              <w:jc w:val="right"/>
              <w:rPr>
                <w:sz w:val="14"/>
              </w:rPr>
            </w:pPr>
            <w:r>
              <w:rPr>
                <w:spacing w:val="-2"/>
                <w:sz w:val="14"/>
              </w:rPr>
              <w:t>14,575</w:t>
            </w:r>
          </w:p>
        </w:tc>
        <w:tc>
          <w:tcPr>
            <w:tcW w:w="774"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4,375</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0,782</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0,041</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0,041</w:t>
            </w:r>
          </w:p>
        </w:tc>
        <w:tc>
          <w:tcPr>
            <w:tcW w:w="773" w:type="dxa"/>
            <w:tcBorders>
              <w:top w:val="single" w:sz="8" w:space="0" w:color="000000"/>
              <w:left w:val="single" w:sz="8" w:space="0" w:color="000000"/>
              <w:bottom w:val="single" w:sz="8" w:space="0" w:color="000000"/>
            </w:tcBorders>
          </w:tcPr>
          <w:p>
            <w:pPr>
              <w:pStyle w:val="TableParagraph"/>
              <w:spacing w:before="45"/>
              <w:ind w:right="59"/>
              <w:jc w:val="right"/>
              <w:rPr>
                <w:sz w:val="14"/>
              </w:rPr>
            </w:pPr>
            <w:r>
              <w:rPr>
                <w:spacing w:val="-2"/>
                <w:sz w:val="14"/>
              </w:rPr>
              <w:t>0,041</w:t>
            </w:r>
          </w:p>
        </w:tc>
      </w:tr>
      <w:tr>
        <w:trPr>
          <w:trHeight w:val="252" w:hRule="atLeast"/>
        </w:trPr>
        <w:tc>
          <w:tcPr>
            <w:tcW w:w="1833" w:type="dxa"/>
            <w:tcBorders>
              <w:top w:val="single" w:sz="8" w:space="0" w:color="000000"/>
              <w:bottom w:val="single" w:sz="8" w:space="0" w:color="000000"/>
              <w:right w:val="single" w:sz="8" w:space="0" w:color="000000"/>
            </w:tcBorders>
          </w:tcPr>
          <w:p>
            <w:pPr>
              <w:pStyle w:val="TableParagraph"/>
              <w:spacing w:before="46"/>
              <w:ind w:left="14"/>
              <w:jc w:val="center"/>
              <w:rPr>
                <w:sz w:val="14"/>
              </w:rPr>
            </w:pPr>
            <w:r>
              <w:rPr>
                <w:sz w:val="14"/>
              </w:rPr>
              <w:t>Ayuntamiento</w:t>
            </w:r>
            <w:r>
              <w:rPr>
                <w:spacing w:val="-3"/>
                <w:sz w:val="14"/>
              </w:rPr>
              <w:t> </w:t>
            </w:r>
            <w:r>
              <w:rPr>
                <w:sz w:val="14"/>
              </w:rPr>
              <w:t>de</w:t>
            </w:r>
            <w:r>
              <w:rPr>
                <w:spacing w:val="-3"/>
                <w:sz w:val="14"/>
              </w:rPr>
              <w:t> </w:t>
            </w:r>
            <w:r>
              <w:rPr>
                <w:spacing w:val="-2"/>
                <w:sz w:val="14"/>
              </w:rPr>
              <w:t>Murcia</w:t>
            </w:r>
          </w:p>
        </w:tc>
        <w:tc>
          <w:tcPr>
            <w:tcW w:w="774"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41,446</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3"/>
              <w:jc w:val="right"/>
              <w:rPr>
                <w:sz w:val="14"/>
              </w:rPr>
            </w:pPr>
            <w:r>
              <w:rPr>
                <w:spacing w:val="-2"/>
                <w:sz w:val="14"/>
              </w:rPr>
              <w:t>5,621</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8,824</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3"/>
              <w:jc w:val="right"/>
              <w:rPr>
                <w:sz w:val="14"/>
              </w:rPr>
            </w:pPr>
            <w:r>
              <w:rPr>
                <w:spacing w:val="-2"/>
                <w:sz w:val="14"/>
              </w:rPr>
              <w:t>8,779</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3"/>
              <w:jc w:val="right"/>
              <w:rPr>
                <w:sz w:val="14"/>
              </w:rPr>
            </w:pPr>
            <w:r>
              <w:rPr>
                <w:spacing w:val="-2"/>
                <w:sz w:val="14"/>
              </w:rPr>
              <w:t>12,113</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3"/>
              <w:jc w:val="right"/>
              <w:rPr>
                <w:sz w:val="14"/>
              </w:rPr>
            </w:pPr>
            <w:r>
              <w:rPr>
                <w:spacing w:val="-2"/>
                <w:sz w:val="14"/>
              </w:rPr>
              <w:t>4,485</w:t>
            </w:r>
          </w:p>
        </w:tc>
        <w:tc>
          <w:tcPr>
            <w:tcW w:w="774"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1,346</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0,241</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0,013</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0,013</w:t>
            </w:r>
          </w:p>
        </w:tc>
        <w:tc>
          <w:tcPr>
            <w:tcW w:w="773" w:type="dxa"/>
            <w:tcBorders>
              <w:top w:val="single" w:sz="8" w:space="0" w:color="000000"/>
              <w:left w:val="single" w:sz="8" w:space="0" w:color="000000"/>
              <w:bottom w:val="single" w:sz="8" w:space="0" w:color="000000"/>
            </w:tcBorders>
          </w:tcPr>
          <w:p>
            <w:pPr>
              <w:pStyle w:val="TableParagraph"/>
              <w:spacing w:before="46"/>
              <w:ind w:right="59"/>
              <w:jc w:val="right"/>
              <w:rPr>
                <w:sz w:val="14"/>
              </w:rPr>
            </w:pPr>
            <w:r>
              <w:rPr>
                <w:spacing w:val="-2"/>
                <w:sz w:val="14"/>
              </w:rPr>
              <w:t>0,011</w:t>
            </w:r>
          </w:p>
        </w:tc>
      </w:tr>
      <w:tr>
        <w:trPr>
          <w:trHeight w:val="252" w:hRule="atLeast"/>
        </w:trPr>
        <w:tc>
          <w:tcPr>
            <w:tcW w:w="1833" w:type="dxa"/>
            <w:tcBorders>
              <w:top w:val="single" w:sz="8" w:space="0" w:color="000000"/>
              <w:right w:val="single" w:sz="8" w:space="0" w:color="000000"/>
            </w:tcBorders>
          </w:tcPr>
          <w:p>
            <w:pPr>
              <w:pStyle w:val="TableParagraph"/>
              <w:spacing w:before="46"/>
              <w:ind w:left="14" w:right="1"/>
              <w:jc w:val="center"/>
              <w:rPr>
                <w:b/>
                <w:sz w:val="14"/>
              </w:rPr>
            </w:pPr>
            <w:r>
              <w:rPr>
                <w:b/>
                <w:spacing w:val="-2"/>
                <w:sz w:val="14"/>
              </w:rPr>
              <w:t>Total</w:t>
            </w:r>
          </w:p>
        </w:tc>
        <w:tc>
          <w:tcPr>
            <w:tcW w:w="774" w:type="dxa"/>
            <w:tcBorders>
              <w:top w:val="single" w:sz="8" w:space="0" w:color="000000"/>
              <w:left w:val="single" w:sz="8" w:space="0" w:color="000000"/>
              <w:right w:val="single" w:sz="8" w:space="0" w:color="000000"/>
            </w:tcBorders>
          </w:tcPr>
          <w:p>
            <w:pPr>
              <w:pStyle w:val="TableParagraph"/>
              <w:spacing w:before="46"/>
              <w:ind w:right="54"/>
              <w:jc w:val="right"/>
              <w:rPr>
                <w:b/>
                <w:sz w:val="14"/>
              </w:rPr>
            </w:pPr>
            <w:r>
              <w:rPr>
                <w:b/>
                <w:spacing w:val="-2"/>
                <w:sz w:val="14"/>
              </w:rPr>
              <w:t>518,070</w:t>
            </w:r>
          </w:p>
        </w:tc>
        <w:tc>
          <w:tcPr>
            <w:tcW w:w="773" w:type="dxa"/>
            <w:tcBorders>
              <w:top w:val="single" w:sz="8" w:space="0" w:color="000000"/>
              <w:left w:val="single" w:sz="8" w:space="0" w:color="000000"/>
              <w:right w:val="single" w:sz="8" w:space="0" w:color="000000"/>
            </w:tcBorders>
          </w:tcPr>
          <w:p>
            <w:pPr>
              <w:pStyle w:val="TableParagraph"/>
              <w:spacing w:before="46"/>
              <w:ind w:right="54"/>
              <w:jc w:val="right"/>
              <w:rPr>
                <w:b/>
                <w:sz w:val="14"/>
              </w:rPr>
            </w:pPr>
            <w:r>
              <w:rPr>
                <w:b/>
                <w:spacing w:val="-2"/>
                <w:sz w:val="14"/>
              </w:rPr>
              <w:t>70,258</w:t>
            </w:r>
          </w:p>
        </w:tc>
        <w:tc>
          <w:tcPr>
            <w:tcW w:w="773" w:type="dxa"/>
            <w:tcBorders>
              <w:top w:val="single" w:sz="8" w:space="0" w:color="000000"/>
              <w:left w:val="single" w:sz="8" w:space="0" w:color="000000"/>
              <w:right w:val="single" w:sz="8" w:space="0" w:color="000000"/>
            </w:tcBorders>
          </w:tcPr>
          <w:p>
            <w:pPr>
              <w:pStyle w:val="TableParagraph"/>
              <w:spacing w:before="46"/>
              <w:ind w:right="54"/>
              <w:jc w:val="right"/>
              <w:rPr>
                <w:b/>
                <w:sz w:val="14"/>
              </w:rPr>
            </w:pPr>
            <w:r>
              <w:rPr>
                <w:b/>
                <w:spacing w:val="-2"/>
                <w:sz w:val="14"/>
              </w:rPr>
              <w:t>110,300</w:t>
            </w:r>
          </w:p>
        </w:tc>
        <w:tc>
          <w:tcPr>
            <w:tcW w:w="773" w:type="dxa"/>
            <w:tcBorders>
              <w:top w:val="single" w:sz="8" w:space="0" w:color="000000"/>
              <w:left w:val="single" w:sz="8" w:space="0" w:color="000000"/>
              <w:right w:val="single" w:sz="8" w:space="0" w:color="000000"/>
            </w:tcBorders>
          </w:tcPr>
          <w:p>
            <w:pPr>
              <w:pStyle w:val="TableParagraph"/>
              <w:spacing w:before="46"/>
              <w:ind w:right="54"/>
              <w:jc w:val="right"/>
              <w:rPr>
                <w:b/>
                <w:sz w:val="14"/>
              </w:rPr>
            </w:pPr>
            <w:r>
              <w:rPr>
                <w:b/>
                <w:spacing w:val="-2"/>
                <w:sz w:val="14"/>
              </w:rPr>
              <w:t>109,738</w:t>
            </w:r>
          </w:p>
        </w:tc>
        <w:tc>
          <w:tcPr>
            <w:tcW w:w="773" w:type="dxa"/>
            <w:tcBorders>
              <w:top w:val="single" w:sz="8" w:space="0" w:color="000000"/>
              <w:left w:val="single" w:sz="8" w:space="0" w:color="000000"/>
              <w:right w:val="single" w:sz="8" w:space="0" w:color="000000"/>
            </w:tcBorders>
          </w:tcPr>
          <w:p>
            <w:pPr>
              <w:pStyle w:val="TableParagraph"/>
              <w:spacing w:before="46"/>
              <w:ind w:right="53"/>
              <w:jc w:val="right"/>
              <w:rPr>
                <w:b/>
                <w:sz w:val="14"/>
              </w:rPr>
            </w:pPr>
            <w:r>
              <w:rPr>
                <w:b/>
                <w:spacing w:val="-2"/>
                <w:sz w:val="14"/>
              </w:rPr>
              <w:t>151,408</w:t>
            </w:r>
          </w:p>
        </w:tc>
        <w:tc>
          <w:tcPr>
            <w:tcW w:w="773" w:type="dxa"/>
            <w:tcBorders>
              <w:top w:val="single" w:sz="8" w:space="0" w:color="000000"/>
              <w:left w:val="single" w:sz="8" w:space="0" w:color="000000"/>
              <w:right w:val="single" w:sz="8" w:space="0" w:color="000000"/>
            </w:tcBorders>
          </w:tcPr>
          <w:p>
            <w:pPr>
              <w:pStyle w:val="TableParagraph"/>
              <w:spacing w:before="46"/>
              <w:ind w:right="53"/>
              <w:jc w:val="right"/>
              <w:rPr>
                <w:b/>
                <w:sz w:val="14"/>
              </w:rPr>
            </w:pPr>
            <w:r>
              <w:rPr>
                <w:b/>
                <w:spacing w:val="-2"/>
                <w:sz w:val="14"/>
              </w:rPr>
              <w:t>56,058</w:t>
            </w:r>
          </w:p>
        </w:tc>
        <w:tc>
          <w:tcPr>
            <w:tcW w:w="774" w:type="dxa"/>
            <w:tcBorders>
              <w:top w:val="single" w:sz="8" w:space="0" w:color="000000"/>
              <w:left w:val="single" w:sz="8" w:space="0" w:color="000000"/>
              <w:right w:val="single" w:sz="8" w:space="0" w:color="000000"/>
            </w:tcBorders>
          </w:tcPr>
          <w:p>
            <w:pPr>
              <w:pStyle w:val="TableParagraph"/>
              <w:spacing w:before="46"/>
              <w:ind w:right="54"/>
              <w:jc w:val="right"/>
              <w:rPr>
                <w:b/>
                <w:sz w:val="14"/>
              </w:rPr>
            </w:pPr>
            <w:r>
              <w:rPr>
                <w:b/>
                <w:spacing w:val="-2"/>
                <w:sz w:val="14"/>
              </w:rPr>
              <w:t>16,827</w:t>
            </w:r>
          </w:p>
        </w:tc>
        <w:tc>
          <w:tcPr>
            <w:tcW w:w="773" w:type="dxa"/>
            <w:tcBorders>
              <w:top w:val="single" w:sz="8" w:space="0" w:color="000000"/>
              <w:left w:val="single" w:sz="8" w:space="0" w:color="000000"/>
              <w:right w:val="single" w:sz="8" w:space="0" w:color="000000"/>
            </w:tcBorders>
          </w:tcPr>
          <w:p>
            <w:pPr>
              <w:pStyle w:val="TableParagraph"/>
              <w:spacing w:before="46"/>
              <w:ind w:right="54"/>
              <w:jc w:val="right"/>
              <w:rPr>
                <w:b/>
                <w:sz w:val="14"/>
              </w:rPr>
            </w:pPr>
            <w:r>
              <w:rPr>
                <w:b/>
                <w:spacing w:val="-2"/>
                <w:sz w:val="14"/>
              </w:rPr>
              <w:t>3,008</w:t>
            </w:r>
          </w:p>
        </w:tc>
        <w:tc>
          <w:tcPr>
            <w:tcW w:w="773" w:type="dxa"/>
            <w:tcBorders>
              <w:top w:val="single" w:sz="8" w:space="0" w:color="000000"/>
              <w:left w:val="single" w:sz="8" w:space="0" w:color="000000"/>
              <w:right w:val="single" w:sz="8" w:space="0" w:color="000000"/>
            </w:tcBorders>
          </w:tcPr>
          <w:p>
            <w:pPr>
              <w:pStyle w:val="TableParagraph"/>
              <w:spacing w:before="46"/>
              <w:ind w:right="54"/>
              <w:jc w:val="right"/>
              <w:rPr>
                <w:b/>
                <w:sz w:val="14"/>
              </w:rPr>
            </w:pPr>
            <w:r>
              <w:rPr>
                <w:b/>
                <w:spacing w:val="-2"/>
                <w:sz w:val="14"/>
              </w:rPr>
              <w:t>0,158</w:t>
            </w:r>
          </w:p>
        </w:tc>
        <w:tc>
          <w:tcPr>
            <w:tcW w:w="773" w:type="dxa"/>
            <w:tcBorders>
              <w:top w:val="single" w:sz="8" w:space="0" w:color="000000"/>
              <w:left w:val="single" w:sz="8" w:space="0" w:color="000000"/>
              <w:right w:val="single" w:sz="8" w:space="0" w:color="000000"/>
            </w:tcBorders>
          </w:tcPr>
          <w:p>
            <w:pPr>
              <w:pStyle w:val="TableParagraph"/>
              <w:spacing w:before="46"/>
              <w:ind w:right="54"/>
              <w:jc w:val="right"/>
              <w:rPr>
                <w:b/>
                <w:sz w:val="14"/>
              </w:rPr>
            </w:pPr>
            <w:r>
              <w:rPr>
                <w:b/>
                <w:spacing w:val="-2"/>
                <w:sz w:val="14"/>
              </w:rPr>
              <w:t>0,158</w:t>
            </w:r>
          </w:p>
        </w:tc>
        <w:tc>
          <w:tcPr>
            <w:tcW w:w="773" w:type="dxa"/>
            <w:tcBorders>
              <w:top w:val="single" w:sz="8" w:space="0" w:color="000000"/>
              <w:left w:val="single" w:sz="8" w:space="0" w:color="000000"/>
            </w:tcBorders>
          </w:tcPr>
          <w:p>
            <w:pPr>
              <w:pStyle w:val="TableParagraph"/>
              <w:spacing w:before="46"/>
              <w:ind w:right="59"/>
              <w:jc w:val="right"/>
              <w:rPr>
                <w:b/>
                <w:sz w:val="14"/>
              </w:rPr>
            </w:pPr>
            <w:r>
              <w:rPr>
                <w:b/>
                <w:spacing w:val="-2"/>
                <w:sz w:val="14"/>
              </w:rPr>
              <w:t>0,157</w:t>
            </w:r>
          </w:p>
        </w:tc>
      </w:tr>
    </w:tbl>
    <w:p>
      <w:pPr>
        <w:spacing w:before="2"/>
        <w:ind w:left="176" w:right="0" w:firstLine="0"/>
        <w:jc w:val="left"/>
        <w:rPr>
          <w:i/>
          <w:sz w:val="14"/>
        </w:rPr>
      </w:pPr>
      <w:r>
        <w:rPr>
          <w:i/>
          <w:sz w:val="14"/>
        </w:rPr>
        <w:t>(*)</w:t>
      </w:r>
      <w:r>
        <w:rPr>
          <w:i/>
          <w:spacing w:val="-6"/>
          <w:sz w:val="14"/>
        </w:rPr>
        <w:t> </w:t>
      </w:r>
      <w:r>
        <w:rPr>
          <w:i/>
          <w:sz w:val="14"/>
        </w:rPr>
        <w:t>cifras</w:t>
      </w:r>
      <w:r>
        <w:rPr>
          <w:i/>
          <w:spacing w:val="-3"/>
          <w:sz w:val="14"/>
        </w:rPr>
        <w:t> </w:t>
      </w:r>
      <w:r>
        <w:rPr>
          <w:i/>
          <w:sz w:val="14"/>
        </w:rPr>
        <w:t>expresadas</w:t>
      </w:r>
      <w:r>
        <w:rPr>
          <w:i/>
          <w:spacing w:val="-5"/>
          <w:sz w:val="14"/>
        </w:rPr>
        <w:t> </w:t>
      </w:r>
      <w:r>
        <w:rPr>
          <w:i/>
          <w:sz w:val="14"/>
        </w:rPr>
        <w:t>en</w:t>
      </w:r>
      <w:r>
        <w:rPr>
          <w:i/>
          <w:spacing w:val="-4"/>
          <w:sz w:val="14"/>
        </w:rPr>
        <w:t> </w:t>
      </w:r>
      <w:r>
        <w:rPr>
          <w:i/>
          <w:sz w:val="14"/>
        </w:rPr>
        <w:t>millones</w:t>
      </w:r>
      <w:r>
        <w:rPr>
          <w:i/>
          <w:spacing w:val="-4"/>
          <w:sz w:val="14"/>
        </w:rPr>
        <w:t> </w:t>
      </w:r>
      <w:r>
        <w:rPr>
          <w:i/>
          <w:sz w:val="14"/>
        </w:rPr>
        <w:t>de</w:t>
      </w:r>
      <w:r>
        <w:rPr>
          <w:i/>
          <w:spacing w:val="-5"/>
          <w:sz w:val="14"/>
        </w:rPr>
        <w:t> </w:t>
      </w:r>
      <w:r>
        <w:rPr>
          <w:i/>
          <w:spacing w:val="-4"/>
          <w:sz w:val="14"/>
        </w:rPr>
        <w:t>euros</w:t>
      </w:r>
    </w:p>
    <w:p>
      <w:pPr>
        <w:pStyle w:val="BodyText"/>
        <w:spacing w:before="99"/>
        <w:rPr>
          <w:i/>
          <w:sz w:val="14"/>
        </w:rPr>
      </w:pPr>
    </w:p>
    <w:p>
      <w:pPr>
        <w:pStyle w:val="BodyText"/>
        <w:spacing w:line="247" w:lineRule="auto"/>
        <w:ind w:left="995" w:right="837"/>
        <w:jc w:val="both"/>
      </w:pPr>
      <w:r>
        <w:rPr/>
        <w:t>Con</w:t>
      </w:r>
      <w:r>
        <w:rPr>
          <w:spacing w:val="-14"/>
        </w:rPr>
        <w:t> </w:t>
      </w:r>
      <w:r>
        <w:rPr/>
        <w:t>fecha</w:t>
      </w:r>
      <w:r>
        <w:rPr>
          <w:spacing w:val="-14"/>
        </w:rPr>
        <w:t> </w:t>
      </w:r>
      <w:r>
        <w:rPr/>
        <w:t>30</w:t>
      </w:r>
      <w:r>
        <w:rPr>
          <w:spacing w:val="-14"/>
        </w:rPr>
        <w:t> </w:t>
      </w:r>
      <w:r>
        <w:rPr/>
        <w:t>de</w:t>
      </w:r>
      <w:r>
        <w:rPr>
          <w:spacing w:val="-13"/>
        </w:rPr>
        <w:t> </w:t>
      </w:r>
      <w:r>
        <w:rPr/>
        <w:t>septiembre</w:t>
      </w:r>
      <w:r>
        <w:rPr>
          <w:spacing w:val="-14"/>
        </w:rPr>
        <w:t> </w:t>
      </w:r>
      <w:r>
        <w:rPr/>
        <w:t>de</w:t>
      </w:r>
      <w:r>
        <w:rPr>
          <w:spacing w:val="-14"/>
        </w:rPr>
        <w:t> </w:t>
      </w:r>
      <w:r>
        <w:rPr/>
        <w:t>2019,</w:t>
      </w:r>
      <w:r>
        <w:rPr>
          <w:spacing w:val="-14"/>
        </w:rPr>
        <w:t> </w:t>
      </w:r>
      <w:r>
        <w:rPr/>
        <w:t>se</w:t>
      </w:r>
      <w:r>
        <w:rPr>
          <w:spacing w:val="-13"/>
        </w:rPr>
        <w:t> </w:t>
      </w:r>
      <w:r>
        <w:rPr/>
        <w:t>formalizó</w:t>
      </w:r>
      <w:r>
        <w:rPr>
          <w:spacing w:val="-14"/>
        </w:rPr>
        <w:t> </w:t>
      </w:r>
      <w:r>
        <w:rPr/>
        <w:t>el</w:t>
      </w:r>
      <w:r>
        <w:rPr>
          <w:spacing w:val="-14"/>
        </w:rPr>
        <w:t> </w:t>
      </w:r>
      <w:r>
        <w:rPr/>
        <w:t>préstamo</w:t>
      </w:r>
      <w:r>
        <w:rPr>
          <w:spacing w:val="-14"/>
        </w:rPr>
        <w:t> </w:t>
      </w:r>
      <w:r>
        <w:rPr/>
        <w:t>participativo</w:t>
      </w:r>
      <w:r>
        <w:rPr>
          <w:spacing w:val="-13"/>
        </w:rPr>
        <w:t> </w:t>
      </w:r>
      <w:r>
        <w:rPr/>
        <w:t>entre</w:t>
      </w:r>
      <w:r>
        <w:rPr>
          <w:spacing w:val="-14"/>
        </w:rPr>
        <w:t> </w:t>
      </w:r>
      <w:r>
        <w:rPr/>
        <w:t>la</w:t>
      </w:r>
      <w:r>
        <w:rPr>
          <w:spacing w:val="-14"/>
        </w:rPr>
        <w:t> </w:t>
      </w:r>
      <w:r>
        <w:rPr/>
        <w:t>Sociedad</w:t>
      </w:r>
      <w:r>
        <w:rPr>
          <w:spacing w:val="-14"/>
        </w:rPr>
        <w:t> </w:t>
      </w:r>
      <w:r>
        <w:rPr/>
        <w:t>y</w:t>
      </w:r>
      <w:r>
        <w:rPr>
          <w:spacing w:val="-11"/>
        </w:rPr>
        <w:t> </w:t>
      </w:r>
      <w:r>
        <w:rPr/>
        <w:t>ADIF</w:t>
      </w:r>
      <w:r>
        <w:rPr>
          <w:spacing w:val="-5"/>
        </w:rPr>
        <w:t> </w:t>
      </w:r>
      <w:r>
        <w:rPr/>
        <w:t>– Alta</w:t>
      </w:r>
      <w:r>
        <w:rPr>
          <w:spacing w:val="-12"/>
        </w:rPr>
        <w:t> </w:t>
      </w:r>
      <w:r>
        <w:rPr/>
        <w:t>Velocidad,</w:t>
      </w:r>
      <w:r>
        <w:rPr>
          <w:spacing w:val="-13"/>
        </w:rPr>
        <w:t> </w:t>
      </w:r>
      <w:r>
        <w:rPr/>
        <w:t>Comunidad</w:t>
      </w:r>
      <w:r>
        <w:rPr>
          <w:spacing w:val="-11"/>
        </w:rPr>
        <w:t> </w:t>
      </w:r>
      <w:r>
        <w:rPr/>
        <w:t>Autónoma</w:t>
      </w:r>
      <w:r>
        <w:rPr>
          <w:spacing w:val="-12"/>
        </w:rPr>
        <w:t> </w:t>
      </w:r>
      <w:r>
        <w:rPr/>
        <w:t>de</w:t>
      </w:r>
      <w:r>
        <w:rPr>
          <w:spacing w:val="-12"/>
        </w:rPr>
        <w:t> </w:t>
      </w:r>
      <w:r>
        <w:rPr/>
        <w:t>la</w:t>
      </w:r>
      <w:r>
        <w:rPr>
          <w:spacing w:val="-12"/>
        </w:rPr>
        <w:t> </w:t>
      </w:r>
      <w:r>
        <w:rPr/>
        <w:t>Región</w:t>
      </w:r>
      <w:r>
        <w:rPr>
          <w:spacing w:val="-11"/>
        </w:rPr>
        <w:t> </w:t>
      </w:r>
      <w:r>
        <w:rPr/>
        <w:t>de</w:t>
      </w:r>
      <w:r>
        <w:rPr>
          <w:spacing w:val="-13"/>
        </w:rPr>
        <w:t> </w:t>
      </w:r>
      <w:r>
        <w:rPr/>
        <w:t>Murcia</w:t>
      </w:r>
      <w:r>
        <w:rPr>
          <w:spacing w:val="-14"/>
        </w:rPr>
        <w:t> </w:t>
      </w:r>
      <w:r>
        <w:rPr/>
        <w:t>y</w:t>
      </w:r>
      <w:r>
        <w:rPr>
          <w:spacing w:val="-11"/>
        </w:rPr>
        <w:t> </w:t>
      </w:r>
      <w:r>
        <w:rPr/>
        <w:t>Ayuntamiento</w:t>
      </w:r>
      <w:r>
        <w:rPr>
          <w:spacing w:val="-11"/>
        </w:rPr>
        <w:t> </w:t>
      </w:r>
      <w:r>
        <w:rPr/>
        <w:t>de</w:t>
      </w:r>
      <w:r>
        <w:rPr>
          <w:spacing w:val="-13"/>
        </w:rPr>
        <w:t> </w:t>
      </w:r>
      <w:r>
        <w:rPr/>
        <w:t>Murcia</w:t>
      </w:r>
      <w:r>
        <w:rPr>
          <w:spacing w:val="-12"/>
        </w:rPr>
        <w:t> </w:t>
      </w:r>
      <w:r>
        <w:rPr/>
        <w:t>por</w:t>
      </w:r>
      <w:r>
        <w:rPr>
          <w:spacing w:val="-12"/>
        </w:rPr>
        <w:t> </w:t>
      </w:r>
      <w:r>
        <w:rPr/>
        <w:t>un</w:t>
      </w:r>
      <w:r>
        <w:rPr>
          <w:spacing w:val="-12"/>
        </w:rPr>
        <w:t> </w:t>
      </w:r>
      <w:r>
        <w:rPr/>
        <w:t>total de</w:t>
      </w:r>
      <w:r>
        <w:rPr>
          <w:spacing w:val="-7"/>
        </w:rPr>
        <w:t> </w:t>
      </w:r>
      <w:r>
        <w:rPr/>
        <w:t>70.258.000,00</w:t>
      </w:r>
      <w:r>
        <w:rPr>
          <w:spacing w:val="-7"/>
        </w:rPr>
        <w:t> </w:t>
      </w:r>
      <w:r>
        <w:rPr/>
        <w:t>euros</w:t>
      </w:r>
      <w:r>
        <w:rPr>
          <w:spacing w:val="-7"/>
        </w:rPr>
        <w:t> </w:t>
      </w:r>
      <w:r>
        <w:rPr/>
        <w:t>cuyas</w:t>
      </w:r>
      <w:r>
        <w:rPr>
          <w:spacing w:val="-7"/>
        </w:rPr>
        <w:t> </w:t>
      </w:r>
      <w:r>
        <w:rPr/>
        <w:t>aportaciones</w:t>
      </w:r>
      <w:r>
        <w:rPr>
          <w:spacing w:val="-7"/>
        </w:rPr>
        <w:t> </w:t>
      </w:r>
      <w:r>
        <w:rPr/>
        <w:t>se</w:t>
      </w:r>
      <w:r>
        <w:rPr>
          <w:spacing w:val="-7"/>
        </w:rPr>
        <w:t> </w:t>
      </w:r>
      <w:r>
        <w:rPr/>
        <w:t>determinaron</w:t>
      </w:r>
      <w:r>
        <w:rPr>
          <w:spacing w:val="-6"/>
        </w:rPr>
        <w:t> </w:t>
      </w:r>
      <w:r>
        <w:rPr/>
        <w:t>en</w:t>
      </w:r>
      <w:r>
        <w:rPr>
          <w:spacing w:val="-8"/>
        </w:rPr>
        <w:t> </w:t>
      </w:r>
      <w:r>
        <w:rPr/>
        <w:t>dos</w:t>
      </w:r>
      <w:r>
        <w:rPr>
          <w:spacing w:val="-8"/>
        </w:rPr>
        <w:t> </w:t>
      </w:r>
      <w:r>
        <w:rPr/>
        <w:t>fases,</w:t>
      </w:r>
      <w:r>
        <w:rPr>
          <w:spacing w:val="-7"/>
        </w:rPr>
        <w:t> </w:t>
      </w:r>
      <w:r>
        <w:rPr/>
        <w:t>la</w:t>
      </w:r>
      <w:r>
        <w:rPr>
          <w:spacing w:val="-7"/>
        </w:rPr>
        <w:t> </w:t>
      </w:r>
      <w:r>
        <w:rPr/>
        <w:t>primera</w:t>
      </w:r>
      <w:r>
        <w:rPr>
          <w:spacing w:val="-7"/>
        </w:rPr>
        <w:t> </w:t>
      </w:r>
      <w:r>
        <w:rPr/>
        <w:t>por</w:t>
      </w:r>
      <w:r>
        <w:rPr>
          <w:spacing w:val="-7"/>
        </w:rPr>
        <w:t> </w:t>
      </w:r>
      <w:r>
        <w:rPr/>
        <w:t>un</w:t>
      </w:r>
      <w:r>
        <w:rPr>
          <w:spacing w:val="-7"/>
        </w:rPr>
        <w:t> </w:t>
      </w:r>
      <w:r>
        <w:rPr/>
        <w:t>importe</w:t>
      </w:r>
      <w:r>
        <w:rPr>
          <w:spacing w:val="-7"/>
        </w:rPr>
        <w:t> </w:t>
      </w:r>
      <w:r>
        <w:rPr/>
        <w:t>de 29.943.000,00 euros y la segunda por importe de 40.315.000,00 euros, cuyo vencimiento es a 31 de </w:t>
      </w:r>
      <w:r>
        <w:rPr>
          <w:spacing w:val="-2"/>
        </w:rPr>
        <w:t>diciembre</w:t>
      </w:r>
      <w:r>
        <w:rPr>
          <w:spacing w:val="-6"/>
        </w:rPr>
        <w:t> </w:t>
      </w:r>
      <w:r>
        <w:rPr>
          <w:spacing w:val="-2"/>
        </w:rPr>
        <w:t>de</w:t>
      </w:r>
      <w:r>
        <w:rPr>
          <w:spacing w:val="-5"/>
        </w:rPr>
        <w:t> </w:t>
      </w:r>
      <w:r>
        <w:rPr>
          <w:spacing w:val="-2"/>
        </w:rPr>
        <w:t>2036.</w:t>
      </w:r>
      <w:r>
        <w:rPr>
          <w:spacing w:val="-5"/>
        </w:rPr>
        <w:t> </w:t>
      </w:r>
      <w:r>
        <w:rPr>
          <w:spacing w:val="-2"/>
        </w:rPr>
        <w:t>El</w:t>
      </w:r>
      <w:r>
        <w:rPr>
          <w:spacing w:val="-6"/>
        </w:rPr>
        <w:t> </w:t>
      </w:r>
      <w:r>
        <w:rPr>
          <w:spacing w:val="-2"/>
        </w:rPr>
        <w:t>préstamo</w:t>
      </w:r>
      <w:r>
        <w:rPr>
          <w:spacing w:val="-5"/>
        </w:rPr>
        <w:t> </w:t>
      </w:r>
      <w:r>
        <w:rPr>
          <w:spacing w:val="-2"/>
        </w:rPr>
        <w:t>devenga</w:t>
      </w:r>
      <w:r>
        <w:rPr>
          <w:spacing w:val="-6"/>
        </w:rPr>
        <w:t> </w:t>
      </w:r>
      <w:r>
        <w:rPr>
          <w:spacing w:val="-2"/>
        </w:rPr>
        <w:t>intereses</w:t>
      </w:r>
      <w:r>
        <w:rPr>
          <w:spacing w:val="-6"/>
        </w:rPr>
        <w:t> </w:t>
      </w:r>
      <w:r>
        <w:rPr>
          <w:spacing w:val="-2"/>
        </w:rPr>
        <w:t>a</w:t>
      </w:r>
      <w:r>
        <w:rPr>
          <w:spacing w:val="-6"/>
        </w:rPr>
        <w:t> </w:t>
      </w:r>
      <w:r>
        <w:rPr>
          <w:spacing w:val="-2"/>
        </w:rPr>
        <w:t>tipo</w:t>
      </w:r>
      <w:r>
        <w:rPr>
          <w:spacing w:val="-5"/>
        </w:rPr>
        <w:t> </w:t>
      </w:r>
      <w:r>
        <w:rPr>
          <w:spacing w:val="-2"/>
        </w:rPr>
        <w:t>fijo</w:t>
      </w:r>
      <w:r>
        <w:rPr>
          <w:spacing w:val="-6"/>
        </w:rPr>
        <w:t> </w:t>
      </w:r>
      <w:r>
        <w:rPr>
          <w:spacing w:val="-2"/>
        </w:rPr>
        <w:t>del</w:t>
      </w:r>
      <w:r>
        <w:rPr>
          <w:spacing w:val="-5"/>
        </w:rPr>
        <w:t> </w:t>
      </w:r>
      <w:r>
        <w:rPr>
          <w:spacing w:val="-2"/>
        </w:rPr>
        <w:t>5%</w:t>
      </w:r>
      <w:r>
        <w:rPr>
          <w:spacing w:val="-7"/>
        </w:rPr>
        <w:t> </w:t>
      </w:r>
      <w:r>
        <w:rPr>
          <w:spacing w:val="-2"/>
        </w:rPr>
        <w:t>del</w:t>
      </w:r>
      <w:r>
        <w:rPr>
          <w:spacing w:val="-5"/>
        </w:rPr>
        <w:t> </w:t>
      </w:r>
      <w:r>
        <w:rPr>
          <w:spacing w:val="-2"/>
        </w:rPr>
        <w:t>beneficio</w:t>
      </w:r>
      <w:r>
        <w:rPr>
          <w:spacing w:val="-6"/>
        </w:rPr>
        <w:t> </w:t>
      </w:r>
      <w:r>
        <w:rPr>
          <w:spacing w:val="-2"/>
        </w:rPr>
        <w:t>después</w:t>
      </w:r>
      <w:r>
        <w:rPr>
          <w:spacing w:val="-5"/>
        </w:rPr>
        <w:t> </w:t>
      </w:r>
      <w:r>
        <w:rPr>
          <w:spacing w:val="-2"/>
        </w:rPr>
        <w:t>de</w:t>
      </w:r>
      <w:r>
        <w:rPr>
          <w:spacing w:val="-5"/>
        </w:rPr>
        <w:t> </w:t>
      </w:r>
      <w:r>
        <w:rPr>
          <w:spacing w:val="-2"/>
        </w:rPr>
        <w:t>impuestos </w:t>
      </w:r>
      <w:r>
        <w:rPr/>
        <w:t>si la Sociedad incurre en resultados positivos después de impuestos.</w:t>
      </w:r>
    </w:p>
    <w:p>
      <w:pPr>
        <w:pStyle w:val="BodyText"/>
        <w:spacing w:before="6"/>
      </w:pPr>
    </w:p>
    <w:p>
      <w:pPr>
        <w:pStyle w:val="BodyText"/>
        <w:spacing w:line="247" w:lineRule="auto"/>
        <w:ind w:left="995" w:right="845"/>
        <w:jc w:val="both"/>
      </w:pPr>
      <w:r>
        <w:rPr/>
        <w:t>En el ejercicio 2020, de acuerdo con lo indicado en la cláusula VI de la Adenda Modificativa del Convenio de 2006, se remite a las administraciones socias un nuevo ajuste de la planificación plurianual y anual, las cantidades ajustadas son las siguientes:</w:t>
      </w:r>
    </w:p>
    <w:p>
      <w:pPr>
        <w:pStyle w:val="BodyText"/>
        <w:spacing w:before="30"/>
        <w:rPr>
          <w:sz w:val="20"/>
        </w:rPr>
      </w:pPr>
    </w:p>
    <w:tbl>
      <w:tblPr>
        <w:tblW w:w="0" w:type="auto"/>
        <w:jc w:val="left"/>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3"/>
        <w:gridCol w:w="774"/>
        <w:gridCol w:w="773"/>
        <w:gridCol w:w="773"/>
        <w:gridCol w:w="773"/>
        <w:gridCol w:w="773"/>
        <w:gridCol w:w="773"/>
        <w:gridCol w:w="774"/>
        <w:gridCol w:w="773"/>
        <w:gridCol w:w="773"/>
        <w:gridCol w:w="773"/>
        <w:gridCol w:w="773"/>
      </w:tblGrid>
      <w:tr>
        <w:trPr>
          <w:trHeight w:val="251" w:hRule="atLeast"/>
        </w:trPr>
        <w:tc>
          <w:tcPr>
            <w:tcW w:w="1833" w:type="dxa"/>
            <w:tcBorders>
              <w:bottom w:val="single" w:sz="8" w:space="0" w:color="000000"/>
              <w:right w:val="single" w:sz="8" w:space="0" w:color="000000"/>
            </w:tcBorders>
          </w:tcPr>
          <w:p>
            <w:pPr>
              <w:pStyle w:val="TableParagraph"/>
              <w:spacing w:before="46"/>
              <w:ind w:left="14" w:right="3"/>
              <w:jc w:val="center"/>
              <w:rPr>
                <w:b/>
                <w:sz w:val="14"/>
              </w:rPr>
            </w:pPr>
            <w:r>
              <w:rPr>
                <w:b/>
                <w:spacing w:val="-2"/>
                <w:sz w:val="14"/>
              </w:rPr>
              <w:t>Aportaciones</w:t>
            </w:r>
            <w:r>
              <w:rPr>
                <w:b/>
                <w:spacing w:val="15"/>
                <w:sz w:val="14"/>
              </w:rPr>
              <w:t> </w:t>
            </w:r>
            <w:r>
              <w:rPr>
                <w:b/>
                <w:spacing w:val="-2"/>
                <w:sz w:val="14"/>
              </w:rPr>
              <w:t>Accionistas</w:t>
            </w:r>
          </w:p>
        </w:tc>
        <w:tc>
          <w:tcPr>
            <w:tcW w:w="774" w:type="dxa"/>
            <w:tcBorders>
              <w:left w:val="single" w:sz="8" w:space="0" w:color="000000"/>
              <w:bottom w:val="single" w:sz="8" w:space="0" w:color="000000"/>
              <w:right w:val="single" w:sz="8" w:space="0" w:color="000000"/>
            </w:tcBorders>
          </w:tcPr>
          <w:p>
            <w:pPr>
              <w:pStyle w:val="TableParagraph"/>
              <w:spacing w:before="46"/>
              <w:ind w:right="125"/>
              <w:jc w:val="right"/>
              <w:rPr>
                <w:b/>
                <w:sz w:val="14"/>
              </w:rPr>
            </w:pPr>
            <w:r>
              <w:rPr>
                <w:b/>
                <w:spacing w:val="-2"/>
                <w:sz w:val="14"/>
              </w:rPr>
              <w:t>TOTAL</w:t>
            </w:r>
          </w:p>
        </w:tc>
        <w:tc>
          <w:tcPr>
            <w:tcW w:w="773" w:type="dxa"/>
            <w:tcBorders>
              <w:left w:val="single" w:sz="8" w:space="0" w:color="000000"/>
              <w:bottom w:val="single" w:sz="8" w:space="0" w:color="000000"/>
              <w:right w:val="single" w:sz="8" w:space="0" w:color="000000"/>
            </w:tcBorders>
          </w:tcPr>
          <w:p>
            <w:pPr>
              <w:pStyle w:val="TableParagraph"/>
              <w:spacing w:before="46"/>
              <w:ind w:left="240"/>
              <w:rPr>
                <w:b/>
                <w:sz w:val="14"/>
              </w:rPr>
            </w:pPr>
            <w:r>
              <w:rPr>
                <w:b/>
                <w:spacing w:val="-4"/>
                <w:sz w:val="14"/>
              </w:rPr>
              <w:t>2019</w:t>
            </w:r>
          </w:p>
        </w:tc>
        <w:tc>
          <w:tcPr>
            <w:tcW w:w="773" w:type="dxa"/>
            <w:tcBorders>
              <w:left w:val="single" w:sz="8" w:space="0" w:color="000000"/>
              <w:bottom w:val="single" w:sz="8" w:space="0" w:color="000000"/>
              <w:right w:val="single" w:sz="8" w:space="0" w:color="000000"/>
            </w:tcBorders>
          </w:tcPr>
          <w:p>
            <w:pPr>
              <w:pStyle w:val="TableParagraph"/>
              <w:spacing w:before="46"/>
              <w:ind w:left="240"/>
              <w:rPr>
                <w:b/>
                <w:sz w:val="14"/>
              </w:rPr>
            </w:pPr>
            <w:r>
              <w:rPr>
                <w:b/>
                <w:spacing w:val="-4"/>
                <w:sz w:val="14"/>
              </w:rPr>
              <w:t>2020</w:t>
            </w:r>
          </w:p>
        </w:tc>
        <w:tc>
          <w:tcPr>
            <w:tcW w:w="773" w:type="dxa"/>
            <w:tcBorders>
              <w:left w:val="single" w:sz="8" w:space="0" w:color="000000"/>
              <w:bottom w:val="single" w:sz="8" w:space="0" w:color="000000"/>
              <w:right w:val="single" w:sz="8" w:space="0" w:color="000000"/>
            </w:tcBorders>
          </w:tcPr>
          <w:p>
            <w:pPr>
              <w:pStyle w:val="TableParagraph"/>
              <w:spacing w:before="46"/>
              <w:ind w:left="240"/>
              <w:rPr>
                <w:b/>
                <w:sz w:val="14"/>
              </w:rPr>
            </w:pPr>
            <w:r>
              <w:rPr>
                <w:b/>
                <w:spacing w:val="-4"/>
                <w:sz w:val="14"/>
              </w:rPr>
              <w:t>2021</w:t>
            </w:r>
          </w:p>
        </w:tc>
        <w:tc>
          <w:tcPr>
            <w:tcW w:w="773" w:type="dxa"/>
            <w:tcBorders>
              <w:left w:val="single" w:sz="8" w:space="0" w:color="000000"/>
              <w:bottom w:val="single" w:sz="8" w:space="0" w:color="000000"/>
              <w:right w:val="single" w:sz="8" w:space="0" w:color="000000"/>
            </w:tcBorders>
          </w:tcPr>
          <w:p>
            <w:pPr>
              <w:pStyle w:val="TableParagraph"/>
              <w:spacing w:before="46"/>
              <w:ind w:left="241"/>
              <w:rPr>
                <w:b/>
                <w:sz w:val="14"/>
              </w:rPr>
            </w:pPr>
            <w:r>
              <w:rPr>
                <w:b/>
                <w:spacing w:val="-4"/>
                <w:sz w:val="14"/>
              </w:rPr>
              <w:t>2022</w:t>
            </w:r>
          </w:p>
        </w:tc>
        <w:tc>
          <w:tcPr>
            <w:tcW w:w="773" w:type="dxa"/>
            <w:tcBorders>
              <w:left w:val="single" w:sz="8" w:space="0" w:color="000000"/>
              <w:bottom w:val="single" w:sz="8" w:space="0" w:color="000000"/>
              <w:right w:val="single" w:sz="8" w:space="0" w:color="000000"/>
            </w:tcBorders>
          </w:tcPr>
          <w:p>
            <w:pPr>
              <w:pStyle w:val="TableParagraph"/>
              <w:spacing w:before="46"/>
              <w:ind w:left="241"/>
              <w:rPr>
                <w:b/>
                <w:sz w:val="14"/>
              </w:rPr>
            </w:pPr>
            <w:r>
              <w:rPr>
                <w:b/>
                <w:spacing w:val="-4"/>
                <w:sz w:val="14"/>
              </w:rPr>
              <w:t>2023</w:t>
            </w:r>
          </w:p>
        </w:tc>
        <w:tc>
          <w:tcPr>
            <w:tcW w:w="774" w:type="dxa"/>
            <w:tcBorders>
              <w:left w:val="single" w:sz="8" w:space="0" w:color="000000"/>
              <w:bottom w:val="single" w:sz="8" w:space="0" w:color="000000"/>
              <w:right w:val="single" w:sz="8" w:space="0" w:color="000000"/>
            </w:tcBorders>
          </w:tcPr>
          <w:p>
            <w:pPr>
              <w:pStyle w:val="TableParagraph"/>
              <w:spacing w:before="46"/>
              <w:ind w:left="241"/>
              <w:rPr>
                <w:b/>
                <w:sz w:val="14"/>
              </w:rPr>
            </w:pPr>
            <w:r>
              <w:rPr>
                <w:b/>
                <w:spacing w:val="-4"/>
                <w:sz w:val="14"/>
              </w:rPr>
              <w:t>2024</w:t>
            </w:r>
          </w:p>
        </w:tc>
        <w:tc>
          <w:tcPr>
            <w:tcW w:w="773" w:type="dxa"/>
            <w:tcBorders>
              <w:left w:val="single" w:sz="8" w:space="0" w:color="000000"/>
              <w:bottom w:val="single" w:sz="8" w:space="0" w:color="000000"/>
              <w:right w:val="single" w:sz="8" w:space="0" w:color="000000"/>
            </w:tcBorders>
          </w:tcPr>
          <w:p>
            <w:pPr>
              <w:pStyle w:val="TableParagraph"/>
              <w:spacing w:before="46"/>
              <w:ind w:left="240"/>
              <w:rPr>
                <w:b/>
                <w:sz w:val="14"/>
              </w:rPr>
            </w:pPr>
            <w:r>
              <w:rPr>
                <w:b/>
                <w:spacing w:val="-4"/>
                <w:sz w:val="14"/>
              </w:rPr>
              <w:t>2025</w:t>
            </w:r>
          </w:p>
        </w:tc>
        <w:tc>
          <w:tcPr>
            <w:tcW w:w="773" w:type="dxa"/>
            <w:tcBorders>
              <w:left w:val="single" w:sz="8" w:space="0" w:color="000000"/>
              <w:bottom w:val="single" w:sz="8" w:space="0" w:color="000000"/>
              <w:right w:val="single" w:sz="8" w:space="0" w:color="000000"/>
            </w:tcBorders>
          </w:tcPr>
          <w:p>
            <w:pPr>
              <w:pStyle w:val="TableParagraph"/>
              <w:spacing w:before="46"/>
              <w:ind w:left="240"/>
              <w:rPr>
                <w:b/>
                <w:sz w:val="14"/>
              </w:rPr>
            </w:pPr>
            <w:r>
              <w:rPr>
                <w:b/>
                <w:spacing w:val="-4"/>
                <w:sz w:val="14"/>
              </w:rPr>
              <w:t>2026</w:t>
            </w:r>
          </w:p>
        </w:tc>
        <w:tc>
          <w:tcPr>
            <w:tcW w:w="773" w:type="dxa"/>
            <w:tcBorders>
              <w:left w:val="single" w:sz="8" w:space="0" w:color="000000"/>
              <w:bottom w:val="single" w:sz="8" w:space="0" w:color="000000"/>
              <w:right w:val="single" w:sz="8" w:space="0" w:color="000000"/>
            </w:tcBorders>
          </w:tcPr>
          <w:p>
            <w:pPr>
              <w:pStyle w:val="TableParagraph"/>
              <w:spacing w:before="46"/>
              <w:ind w:left="240"/>
              <w:rPr>
                <w:b/>
                <w:sz w:val="14"/>
              </w:rPr>
            </w:pPr>
            <w:r>
              <w:rPr>
                <w:b/>
                <w:spacing w:val="-4"/>
                <w:sz w:val="14"/>
              </w:rPr>
              <w:t>2027</w:t>
            </w:r>
          </w:p>
        </w:tc>
        <w:tc>
          <w:tcPr>
            <w:tcW w:w="773" w:type="dxa"/>
            <w:tcBorders>
              <w:left w:val="single" w:sz="8" w:space="0" w:color="000000"/>
              <w:bottom w:val="single" w:sz="8" w:space="0" w:color="000000"/>
            </w:tcBorders>
          </w:tcPr>
          <w:p>
            <w:pPr>
              <w:pStyle w:val="TableParagraph"/>
              <w:spacing w:before="46"/>
              <w:ind w:left="239"/>
              <w:rPr>
                <w:b/>
                <w:sz w:val="14"/>
              </w:rPr>
            </w:pPr>
            <w:r>
              <w:rPr>
                <w:b/>
                <w:spacing w:val="-4"/>
                <w:sz w:val="14"/>
              </w:rPr>
              <w:t>2028</w:t>
            </w:r>
          </w:p>
        </w:tc>
      </w:tr>
      <w:tr>
        <w:trPr>
          <w:trHeight w:val="252" w:hRule="atLeast"/>
        </w:trPr>
        <w:tc>
          <w:tcPr>
            <w:tcW w:w="1833" w:type="dxa"/>
            <w:tcBorders>
              <w:top w:val="single" w:sz="8" w:space="0" w:color="000000"/>
              <w:bottom w:val="single" w:sz="8" w:space="0" w:color="000000"/>
              <w:right w:val="single" w:sz="8" w:space="0" w:color="000000"/>
            </w:tcBorders>
          </w:tcPr>
          <w:p>
            <w:pPr>
              <w:pStyle w:val="TableParagraph"/>
              <w:spacing w:before="46"/>
              <w:ind w:left="14"/>
              <w:jc w:val="center"/>
              <w:rPr>
                <w:sz w:val="14"/>
              </w:rPr>
            </w:pPr>
            <w:r>
              <w:rPr>
                <w:spacing w:val="-2"/>
                <w:sz w:val="14"/>
              </w:rPr>
              <w:t>ADIF-</w:t>
            </w:r>
            <w:r>
              <w:rPr>
                <w:spacing w:val="-5"/>
                <w:sz w:val="14"/>
              </w:rPr>
              <w:t>AV</w:t>
            </w:r>
          </w:p>
        </w:tc>
        <w:tc>
          <w:tcPr>
            <w:tcW w:w="774"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341,926</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46,370</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46,907</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98,317</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3"/>
              <w:jc w:val="right"/>
              <w:rPr>
                <w:sz w:val="14"/>
              </w:rPr>
            </w:pPr>
            <w:r>
              <w:rPr>
                <w:spacing w:val="-2"/>
                <w:sz w:val="14"/>
              </w:rPr>
              <w:t>99,929</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3"/>
              <w:jc w:val="right"/>
              <w:rPr>
                <w:sz w:val="14"/>
              </w:rPr>
            </w:pPr>
            <w:r>
              <w:rPr>
                <w:spacing w:val="-2"/>
                <w:sz w:val="14"/>
              </w:rPr>
              <w:t>36,999</w:t>
            </w:r>
          </w:p>
        </w:tc>
        <w:tc>
          <w:tcPr>
            <w:tcW w:w="774"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11,106</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1,985</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0,104</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0,104</w:t>
            </w:r>
          </w:p>
        </w:tc>
        <w:tc>
          <w:tcPr>
            <w:tcW w:w="773" w:type="dxa"/>
            <w:tcBorders>
              <w:top w:val="single" w:sz="8" w:space="0" w:color="000000"/>
              <w:left w:val="single" w:sz="8" w:space="0" w:color="000000"/>
              <w:bottom w:val="single" w:sz="8" w:space="0" w:color="000000"/>
            </w:tcBorders>
          </w:tcPr>
          <w:p>
            <w:pPr>
              <w:pStyle w:val="TableParagraph"/>
              <w:spacing w:before="46"/>
              <w:ind w:right="59"/>
              <w:jc w:val="right"/>
              <w:rPr>
                <w:sz w:val="14"/>
              </w:rPr>
            </w:pPr>
            <w:r>
              <w:rPr>
                <w:spacing w:val="-2"/>
                <w:sz w:val="14"/>
              </w:rPr>
              <w:t>0,104</w:t>
            </w:r>
          </w:p>
        </w:tc>
      </w:tr>
      <w:tr>
        <w:trPr>
          <w:trHeight w:val="251" w:hRule="atLeast"/>
        </w:trPr>
        <w:tc>
          <w:tcPr>
            <w:tcW w:w="1833" w:type="dxa"/>
            <w:tcBorders>
              <w:top w:val="single" w:sz="8" w:space="0" w:color="000000"/>
              <w:bottom w:val="single" w:sz="8" w:space="0" w:color="000000"/>
              <w:right w:val="single" w:sz="8" w:space="0" w:color="000000"/>
            </w:tcBorders>
          </w:tcPr>
          <w:p>
            <w:pPr>
              <w:pStyle w:val="TableParagraph"/>
              <w:spacing w:before="45"/>
              <w:ind w:left="14" w:right="1"/>
              <w:jc w:val="center"/>
              <w:rPr>
                <w:sz w:val="14"/>
              </w:rPr>
            </w:pPr>
            <w:r>
              <w:rPr>
                <w:sz w:val="14"/>
              </w:rPr>
              <w:t>Región</w:t>
            </w:r>
            <w:r>
              <w:rPr>
                <w:spacing w:val="-5"/>
                <w:sz w:val="14"/>
              </w:rPr>
              <w:t> </w:t>
            </w:r>
            <w:r>
              <w:rPr>
                <w:sz w:val="14"/>
              </w:rPr>
              <w:t>de</w:t>
            </w:r>
            <w:r>
              <w:rPr>
                <w:spacing w:val="-1"/>
                <w:sz w:val="14"/>
              </w:rPr>
              <w:t> </w:t>
            </w:r>
            <w:r>
              <w:rPr>
                <w:spacing w:val="-2"/>
                <w:sz w:val="14"/>
              </w:rPr>
              <w:t>Murcia</w:t>
            </w:r>
          </w:p>
        </w:tc>
        <w:tc>
          <w:tcPr>
            <w:tcW w:w="774"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134,698</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18,267</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18,478</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38,731</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3"/>
              <w:jc w:val="right"/>
              <w:rPr>
                <w:sz w:val="14"/>
              </w:rPr>
            </w:pPr>
            <w:r>
              <w:rPr>
                <w:spacing w:val="-2"/>
                <w:sz w:val="14"/>
              </w:rPr>
              <w:t>39,366</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3"/>
              <w:jc w:val="right"/>
              <w:rPr>
                <w:sz w:val="14"/>
              </w:rPr>
            </w:pPr>
            <w:r>
              <w:rPr>
                <w:spacing w:val="-2"/>
                <w:sz w:val="14"/>
              </w:rPr>
              <w:t>14,575</w:t>
            </w:r>
          </w:p>
        </w:tc>
        <w:tc>
          <w:tcPr>
            <w:tcW w:w="774"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4,375</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0,782</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0,041</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0,041</w:t>
            </w:r>
          </w:p>
        </w:tc>
        <w:tc>
          <w:tcPr>
            <w:tcW w:w="773" w:type="dxa"/>
            <w:tcBorders>
              <w:top w:val="single" w:sz="8" w:space="0" w:color="000000"/>
              <w:left w:val="single" w:sz="8" w:space="0" w:color="000000"/>
              <w:bottom w:val="single" w:sz="8" w:space="0" w:color="000000"/>
            </w:tcBorders>
          </w:tcPr>
          <w:p>
            <w:pPr>
              <w:pStyle w:val="TableParagraph"/>
              <w:spacing w:before="45"/>
              <w:ind w:right="59"/>
              <w:jc w:val="right"/>
              <w:rPr>
                <w:sz w:val="14"/>
              </w:rPr>
            </w:pPr>
            <w:r>
              <w:rPr>
                <w:spacing w:val="-2"/>
                <w:sz w:val="14"/>
              </w:rPr>
              <w:t>0,041</w:t>
            </w:r>
          </w:p>
        </w:tc>
      </w:tr>
      <w:tr>
        <w:trPr>
          <w:trHeight w:val="252" w:hRule="atLeast"/>
        </w:trPr>
        <w:tc>
          <w:tcPr>
            <w:tcW w:w="1833" w:type="dxa"/>
            <w:tcBorders>
              <w:top w:val="single" w:sz="8" w:space="0" w:color="000000"/>
              <w:bottom w:val="single" w:sz="8" w:space="0" w:color="000000"/>
              <w:right w:val="single" w:sz="8" w:space="0" w:color="000000"/>
            </w:tcBorders>
          </w:tcPr>
          <w:p>
            <w:pPr>
              <w:pStyle w:val="TableParagraph"/>
              <w:spacing w:before="46"/>
              <w:ind w:left="14"/>
              <w:jc w:val="center"/>
              <w:rPr>
                <w:sz w:val="14"/>
              </w:rPr>
            </w:pPr>
            <w:r>
              <w:rPr>
                <w:sz w:val="14"/>
              </w:rPr>
              <w:t>Ayuntamiento</w:t>
            </w:r>
            <w:r>
              <w:rPr>
                <w:spacing w:val="-3"/>
                <w:sz w:val="14"/>
              </w:rPr>
              <w:t> </w:t>
            </w:r>
            <w:r>
              <w:rPr>
                <w:sz w:val="14"/>
              </w:rPr>
              <w:t>de</w:t>
            </w:r>
            <w:r>
              <w:rPr>
                <w:spacing w:val="-3"/>
                <w:sz w:val="14"/>
              </w:rPr>
              <w:t> </w:t>
            </w:r>
            <w:r>
              <w:rPr>
                <w:spacing w:val="-2"/>
                <w:sz w:val="14"/>
              </w:rPr>
              <w:t>Murcia</w:t>
            </w:r>
          </w:p>
        </w:tc>
        <w:tc>
          <w:tcPr>
            <w:tcW w:w="774"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41,446</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3"/>
              <w:jc w:val="right"/>
              <w:rPr>
                <w:sz w:val="14"/>
              </w:rPr>
            </w:pPr>
            <w:r>
              <w:rPr>
                <w:spacing w:val="-2"/>
                <w:sz w:val="14"/>
              </w:rPr>
              <w:t>5,621</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5,686</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11,917</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3"/>
              <w:jc w:val="right"/>
              <w:rPr>
                <w:sz w:val="14"/>
              </w:rPr>
            </w:pPr>
            <w:r>
              <w:rPr>
                <w:spacing w:val="-2"/>
                <w:sz w:val="14"/>
              </w:rPr>
              <w:t>12,113</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3"/>
              <w:jc w:val="right"/>
              <w:rPr>
                <w:sz w:val="14"/>
              </w:rPr>
            </w:pPr>
            <w:r>
              <w:rPr>
                <w:spacing w:val="-2"/>
                <w:sz w:val="14"/>
              </w:rPr>
              <w:t>4,485</w:t>
            </w:r>
          </w:p>
        </w:tc>
        <w:tc>
          <w:tcPr>
            <w:tcW w:w="774"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1,346</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0,241</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0,013</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0,013</w:t>
            </w:r>
          </w:p>
        </w:tc>
        <w:tc>
          <w:tcPr>
            <w:tcW w:w="773" w:type="dxa"/>
            <w:tcBorders>
              <w:top w:val="single" w:sz="8" w:space="0" w:color="000000"/>
              <w:left w:val="single" w:sz="8" w:space="0" w:color="000000"/>
              <w:bottom w:val="single" w:sz="8" w:space="0" w:color="000000"/>
            </w:tcBorders>
          </w:tcPr>
          <w:p>
            <w:pPr>
              <w:pStyle w:val="TableParagraph"/>
              <w:spacing w:before="46"/>
              <w:ind w:right="59"/>
              <w:jc w:val="right"/>
              <w:rPr>
                <w:sz w:val="14"/>
              </w:rPr>
            </w:pPr>
            <w:r>
              <w:rPr>
                <w:spacing w:val="-2"/>
                <w:sz w:val="14"/>
              </w:rPr>
              <w:t>0,013</w:t>
            </w:r>
          </w:p>
        </w:tc>
      </w:tr>
      <w:tr>
        <w:trPr>
          <w:trHeight w:val="252" w:hRule="atLeast"/>
        </w:trPr>
        <w:tc>
          <w:tcPr>
            <w:tcW w:w="1833" w:type="dxa"/>
            <w:tcBorders>
              <w:top w:val="single" w:sz="8" w:space="0" w:color="000000"/>
              <w:right w:val="single" w:sz="8" w:space="0" w:color="000000"/>
            </w:tcBorders>
          </w:tcPr>
          <w:p>
            <w:pPr>
              <w:pStyle w:val="TableParagraph"/>
              <w:spacing w:before="46"/>
              <w:ind w:left="14" w:right="1"/>
              <w:jc w:val="center"/>
              <w:rPr>
                <w:b/>
                <w:sz w:val="14"/>
              </w:rPr>
            </w:pPr>
            <w:r>
              <w:rPr>
                <w:b/>
                <w:spacing w:val="-2"/>
                <w:sz w:val="14"/>
              </w:rPr>
              <w:t>Total</w:t>
            </w:r>
          </w:p>
        </w:tc>
        <w:tc>
          <w:tcPr>
            <w:tcW w:w="774" w:type="dxa"/>
            <w:tcBorders>
              <w:top w:val="single" w:sz="8" w:space="0" w:color="000000"/>
              <w:left w:val="single" w:sz="8" w:space="0" w:color="000000"/>
              <w:right w:val="single" w:sz="8" w:space="0" w:color="000000"/>
            </w:tcBorders>
          </w:tcPr>
          <w:p>
            <w:pPr>
              <w:pStyle w:val="TableParagraph"/>
              <w:spacing w:before="46"/>
              <w:ind w:right="54"/>
              <w:jc w:val="right"/>
              <w:rPr>
                <w:b/>
                <w:sz w:val="14"/>
              </w:rPr>
            </w:pPr>
            <w:r>
              <w:rPr>
                <w:b/>
                <w:spacing w:val="-2"/>
                <w:sz w:val="14"/>
              </w:rPr>
              <w:t>518,070</w:t>
            </w:r>
          </w:p>
        </w:tc>
        <w:tc>
          <w:tcPr>
            <w:tcW w:w="773" w:type="dxa"/>
            <w:tcBorders>
              <w:top w:val="single" w:sz="8" w:space="0" w:color="000000"/>
              <w:left w:val="single" w:sz="8" w:space="0" w:color="000000"/>
              <w:right w:val="single" w:sz="8" w:space="0" w:color="000000"/>
            </w:tcBorders>
          </w:tcPr>
          <w:p>
            <w:pPr>
              <w:pStyle w:val="TableParagraph"/>
              <w:spacing w:before="46"/>
              <w:ind w:right="54"/>
              <w:jc w:val="right"/>
              <w:rPr>
                <w:b/>
                <w:sz w:val="14"/>
              </w:rPr>
            </w:pPr>
            <w:r>
              <w:rPr>
                <w:b/>
                <w:spacing w:val="-2"/>
                <w:sz w:val="14"/>
              </w:rPr>
              <w:t>70,258</w:t>
            </w:r>
          </w:p>
        </w:tc>
        <w:tc>
          <w:tcPr>
            <w:tcW w:w="773" w:type="dxa"/>
            <w:tcBorders>
              <w:top w:val="single" w:sz="8" w:space="0" w:color="000000"/>
              <w:left w:val="single" w:sz="8" w:space="0" w:color="000000"/>
              <w:right w:val="single" w:sz="8" w:space="0" w:color="000000"/>
            </w:tcBorders>
          </w:tcPr>
          <w:p>
            <w:pPr>
              <w:pStyle w:val="TableParagraph"/>
              <w:spacing w:before="46"/>
              <w:ind w:right="54"/>
              <w:jc w:val="right"/>
              <w:rPr>
                <w:b/>
                <w:sz w:val="14"/>
              </w:rPr>
            </w:pPr>
            <w:r>
              <w:rPr>
                <w:b/>
                <w:spacing w:val="-2"/>
                <w:sz w:val="14"/>
              </w:rPr>
              <w:t>71,071</w:t>
            </w:r>
          </w:p>
        </w:tc>
        <w:tc>
          <w:tcPr>
            <w:tcW w:w="773" w:type="dxa"/>
            <w:tcBorders>
              <w:top w:val="single" w:sz="8" w:space="0" w:color="000000"/>
              <w:left w:val="single" w:sz="8" w:space="0" w:color="000000"/>
              <w:right w:val="single" w:sz="8" w:space="0" w:color="000000"/>
            </w:tcBorders>
          </w:tcPr>
          <w:p>
            <w:pPr>
              <w:pStyle w:val="TableParagraph"/>
              <w:spacing w:before="46"/>
              <w:ind w:right="54"/>
              <w:jc w:val="right"/>
              <w:rPr>
                <w:b/>
                <w:sz w:val="14"/>
              </w:rPr>
            </w:pPr>
            <w:r>
              <w:rPr>
                <w:b/>
                <w:spacing w:val="-2"/>
                <w:sz w:val="14"/>
              </w:rPr>
              <w:t>148,965</w:t>
            </w:r>
          </w:p>
        </w:tc>
        <w:tc>
          <w:tcPr>
            <w:tcW w:w="773" w:type="dxa"/>
            <w:tcBorders>
              <w:top w:val="single" w:sz="8" w:space="0" w:color="000000"/>
              <w:left w:val="single" w:sz="8" w:space="0" w:color="000000"/>
              <w:right w:val="single" w:sz="8" w:space="0" w:color="000000"/>
            </w:tcBorders>
          </w:tcPr>
          <w:p>
            <w:pPr>
              <w:pStyle w:val="TableParagraph"/>
              <w:spacing w:before="46"/>
              <w:ind w:right="53"/>
              <w:jc w:val="right"/>
              <w:rPr>
                <w:b/>
                <w:sz w:val="14"/>
              </w:rPr>
            </w:pPr>
            <w:r>
              <w:rPr>
                <w:b/>
                <w:spacing w:val="-2"/>
                <w:sz w:val="14"/>
              </w:rPr>
              <w:t>151,408</w:t>
            </w:r>
          </w:p>
        </w:tc>
        <w:tc>
          <w:tcPr>
            <w:tcW w:w="773" w:type="dxa"/>
            <w:tcBorders>
              <w:top w:val="single" w:sz="8" w:space="0" w:color="000000"/>
              <w:left w:val="single" w:sz="8" w:space="0" w:color="000000"/>
              <w:right w:val="single" w:sz="8" w:space="0" w:color="000000"/>
            </w:tcBorders>
          </w:tcPr>
          <w:p>
            <w:pPr>
              <w:pStyle w:val="TableParagraph"/>
              <w:spacing w:before="46"/>
              <w:ind w:right="53"/>
              <w:jc w:val="right"/>
              <w:rPr>
                <w:b/>
                <w:sz w:val="14"/>
              </w:rPr>
            </w:pPr>
            <w:r>
              <w:rPr>
                <w:b/>
                <w:spacing w:val="-2"/>
                <w:sz w:val="14"/>
              </w:rPr>
              <w:t>56,059</w:t>
            </w:r>
          </w:p>
        </w:tc>
        <w:tc>
          <w:tcPr>
            <w:tcW w:w="774" w:type="dxa"/>
            <w:tcBorders>
              <w:top w:val="single" w:sz="8" w:space="0" w:color="000000"/>
              <w:left w:val="single" w:sz="8" w:space="0" w:color="000000"/>
              <w:right w:val="single" w:sz="8" w:space="0" w:color="000000"/>
            </w:tcBorders>
          </w:tcPr>
          <w:p>
            <w:pPr>
              <w:pStyle w:val="TableParagraph"/>
              <w:spacing w:before="46"/>
              <w:ind w:right="54"/>
              <w:jc w:val="right"/>
              <w:rPr>
                <w:b/>
                <w:sz w:val="14"/>
              </w:rPr>
            </w:pPr>
            <w:r>
              <w:rPr>
                <w:b/>
                <w:spacing w:val="-2"/>
                <w:sz w:val="14"/>
              </w:rPr>
              <w:t>16,827</w:t>
            </w:r>
          </w:p>
        </w:tc>
        <w:tc>
          <w:tcPr>
            <w:tcW w:w="773" w:type="dxa"/>
            <w:tcBorders>
              <w:top w:val="single" w:sz="8" w:space="0" w:color="000000"/>
              <w:left w:val="single" w:sz="8" w:space="0" w:color="000000"/>
              <w:right w:val="single" w:sz="8" w:space="0" w:color="000000"/>
            </w:tcBorders>
          </w:tcPr>
          <w:p>
            <w:pPr>
              <w:pStyle w:val="TableParagraph"/>
              <w:spacing w:before="46"/>
              <w:ind w:right="54"/>
              <w:jc w:val="right"/>
              <w:rPr>
                <w:b/>
                <w:sz w:val="14"/>
              </w:rPr>
            </w:pPr>
            <w:r>
              <w:rPr>
                <w:b/>
                <w:spacing w:val="-2"/>
                <w:sz w:val="14"/>
              </w:rPr>
              <w:t>3,008</w:t>
            </w:r>
          </w:p>
        </w:tc>
        <w:tc>
          <w:tcPr>
            <w:tcW w:w="773" w:type="dxa"/>
            <w:tcBorders>
              <w:top w:val="single" w:sz="8" w:space="0" w:color="000000"/>
              <w:left w:val="single" w:sz="8" w:space="0" w:color="000000"/>
              <w:right w:val="single" w:sz="8" w:space="0" w:color="000000"/>
            </w:tcBorders>
          </w:tcPr>
          <w:p>
            <w:pPr>
              <w:pStyle w:val="TableParagraph"/>
              <w:spacing w:before="46"/>
              <w:ind w:right="54"/>
              <w:jc w:val="right"/>
              <w:rPr>
                <w:b/>
                <w:sz w:val="14"/>
              </w:rPr>
            </w:pPr>
            <w:r>
              <w:rPr>
                <w:b/>
                <w:spacing w:val="-2"/>
                <w:sz w:val="14"/>
              </w:rPr>
              <w:t>0,158</w:t>
            </w:r>
          </w:p>
        </w:tc>
        <w:tc>
          <w:tcPr>
            <w:tcW w:w="773" w:type="dxa"/>
            <w:tcBorders>
              <w:top w:val="single" w:sz="8" w:space="0" w:color="000000"/>
              <w:left w:val="single" w:sz="8" w:space="0" w:color="000000"/>
              <w:right w:val="single" w:sz="8" w:space="0" w:color="000000"/>
            </w:tcBorders>
          </w:tcPr>
          <w:p>
            <w:pPr>
              <w:pStyle w:val="TableParagraph"/>
              <w:spacing w:before="46"/>
              <w:ind w:right="54"/>
              <w:jc w:val="right"/>
              <w:rPr>
                <w:b/>
                <w:sz w:val="14"/>
              </w:rPr>
            </w:pPr>
            <w:r>
              <w:rPr>
                <w:b/>
                <w:spacing w:val="-2"/>
                <w:sz w:val="14"/>
              </w:rPr>
              <w:t>0,158</w:t>
            </w:r>
          </w:p>
        </w:tc>
        <w:tc>
          <w:tcPr>
            <w:tcW w:w="773" w:type="dxa"/>
            <w:tcBorders>
              <w:top w:val="single" w:sz="8" w:space="0" w:color="000000"/>
              <w:left w:val="single" w:sz="8" w:space="0" w:color="000000"/>
            </w:tcBorders>
          </w:tcPr>
          <w:p>
            <w:pPr>
              <w:pStyle w:val="TableParagraph"/>
              <w:spacing w:before="46"/>
              <w:ind w:right="59"/>
              <w:jc w:val="right"/>
              <w:rPr>
                <w:b/>
                <w:sz w:val="14"/>
              </w:rPr>
            </w:pPr>
            <w:r>
              <w:rPr>
                <w:b/>
                <w:spacing w:val="-2"/>
                <w:sz w:val="14"/>
              </w:rPr>
              <w:t>0,158</w:t>
            </w:r>
          </w:p>
        </w:tc>
      </w:tr>
    </w:tbl>
    <w:p>
      <w:pPr>
        <w:spacing w:before="2"/>
        <w:ind w:left="176" w:right="0" w:firstLine="0"/>
        <w:jc w:val="left"/>
        <w:rPr>
          <w:i/>
          <w:sz w:val="14"/>
        </w:rPr>
      </w:pPr>
      <w:r>
        <w:rPr>
          <w:i/>
          <w:sz w:val="14"/>
        </w:rPr>
        <w:t>(*)</w:t>
      </w:r>
      <w:r>
        <w:rPr>
          <w:i/>
          <w:spacing w:val="-6"/>
          <w:sz w:val="14"/>
        </w:rPr>
        <w:t> </w:t>
      </w:r>
      <w:r>
        <w:rPr>
          <w:i/>
          <w:sz w:val="14"/>
        </w:rPr>
        <w:t>cifras</w:t>
      </w:r>
      <w:r>
        <w:rPr>
          <w:i/>
          <w:spacing w:val="-3"/>
          <w:sz w:val="14"/>
        </w:rPr>
        <w:t> </w:t>
      </w:r>
      <w:r>
        <w:rPr>
          <w:i/>
          <w:sz w:val="14"/>
        </w:rPr>
        <w:t>expresadas</w:t>
      </w:r>
      <w:r>
        <w:rPr>
          <w:i/>
          <w:spacing w:val="-5"/>
          <w:sz w:val="14"/>
        </w:rPr>
        <w:t> </w:t>
      </w:r>
      <w:r>
        <w:rPr>
          <w:i/>
          <w:sz w:val="14"/>
        </w:rPr>
        <w:t>en</w:t>
      </w:r>
      <w:r>
        <w:rPr>
          <w:i/>
          <w:spacing w:val="-4"/>
          <w:sz w:val="14"/>
        </w:rPr>
        <w:t> </w:t>
      </w:r>
      <w:r>
        <w:rPr>
          <w:i/>
          <w:sz w:val="14"/>
        </w:rPr>
        <w:t>millones</w:t>
      </w:r>
      <w:r>
        <w:rPr>
          <w:i/>
          <w:spacing w:val="-4"/>
          <w:sz w:val="14"/>
        </w:rPr>
        <w:t> </w:t>
      </w:r>
      <w:r>
        <w:rPr>
          <w:i/>
          <w:sz w:val="14"/>
        </w:rPr>
        <w:t>de</w:t>
      </w:r>
      <w:r>
        <w:rPr>
          <w:i/>
          <w:spacing w:val="-5"/>
          <w:sz w:val="14"/>
        </w:rPr>
        <w:t> </w:t>
      </w:r>
      <w:r>
        <w:rPr>
          <w:i/>
          <w:spacing w:val="-4"/>
          <w:sz w:val="14"/>
        </w:rPr>
        <w:t>euros</w:t>
      </w:r>
    </w:p>
    <w:p>
      <w:pPr>
        <w:pStyle w:val="BodyText"/>
        <w:spacing w:before="99"/>
        <w:rPr>
          <w:i/>
          <w:sz w:val="14"/>
        </w:rPr>
      </w:pPr>
    </w:p>
    <w:p>
      <w:pPr>
        <w:pStyle w:val="BodyText"/>
        <w:spacing w:line="247" w:lineRule="auto"/>
        <w:ind w:left="995" w:right="836"/>
        <w:jc w:val="both"/>
      </w:pPr>
      <w:r>
        <w:rPr/>
        <w:t>Con</w:t>
      </w:r>
      <w:r>
        <w:rPr>
          <w:spacing w:val="-11"/>
        </w:rPr>
        <w:t> </w:t>
      </w:r>
      <w:r>
        <w:rPr/>
        <w:t>fecha</w:t>
      </w:r>
      <w:r>
        <w:rPr>
          <w:spacing w:val="-12"/>
        </w:rPr>
        <w:t> </w:t>
      </w:r>
      <w:r>
        <w:rPr/>
        <w:t>10</w:t>
      </w:r>
      <w:r>
        <w:rPr>
          <w:spacing w:val="-12"/>
        </w:rPr>
        <w:t> </w:t>
      </w:r>
      <w:r>
        <w:rPr/>
        <w:t>de</w:t>
      </w:r>
      <w:r>
        <w:rPr>
          <w:spacing w:val="-11"/>
        </w:rPr>
        <w:t> </w:t>
      </w:r>
      <w:r>
        <w:rPr/>
        <w:t>noviembre</w:t>
      </w:r>
      <w:r>
        <w:rPr>
          <w:spacing w:val="-12"/>
        </w:rPr>
        <w:t> </w:t>
      </w:r>
      <w:r>
        <w:rPr/>
        <w:t>de</w:t>
      </w:r>
      <w:r>
        <w:rPr>
          <w:spacing w:val="-11"/>
        </w:rPr>
        <w:t> </w:t>
      </w:r>
      <w:r>
        <w:rPr/>
        <w:t>2020</w:t>
      </w:r>
      <w:r>
        <w:rPr>
          <w:spacing w:val="-11"/>
        </w:rPr>
        <w:t> </w:t>
      </w:r>
      <w:r>
        <w:rPr/>
        <w:t>se</w:t>
      </w:r>
      <w:r>
        <w:rPr>
          <w:spacing w:val="-12"/>
        </w:rPr>
        <w:t> </w:t>
      </w:r>
      <w:r>
        <w:rPr/>
        <w:t>formalizó</w:t>
      </w:r>
      <w:r>
        <w:rPr>
          <w:spacing w:val="-11"/>
        </w:rPr>
        <w:t> </w:t>
      </w:r>
      <w:r>
        <w:rPr/>
        <w:t>otro</w:t>
      </w:r>
      <w:r>
        <w:rPr>
          <w:spacing w:val="-11"/>
        </w:rPr>
        <w:t> </w:t>
      </w:r>
      <w:r>
        <w:rPr/>
        <w:t>préstamo</w:t>
      </w:r>
      <w:r>
        <w:rPr>
          <w:spacing w:val="-11"/>
        </w:rPr>
        <w:t> </w:t>
      </w:r>
      <w:r>
        <w:rPr/>
        <w:t>participativo</w:t>
      </w:r>
      <w:r>
        <w:rPr>
          <w:spacing w:val="-11"/>
        </w:rPr>
        <w:t> </w:t>
      </w:r>
      <w:r>
        <w:rPr/>
        <w:t>entre</w:t>
      </w:r>
      <w:r>
        <w:rPr>
          <w:spacing w:val="-12"/>
        </w:rPr>
        <w:t> </w:t>
      </w:r>
      <w:r>
        <w:rPr/>
        <w:t>la</w:t>
      </w:r>
      <w:r>
        <w:rPr>
          <w:spacing w:val="-12"/>
        </w:rPr>
        <w:t> </w:t>
      </w:r>
      <w:r>
        <w:rPr/>
        <w:t>Sociedad</w:t>
      </w:r>
      <w:r>
        <w:rPr>
          <w:spacing w:val="-11"/>
        </w:rPr>
        <w:t> </w:t>
      </w:r>
      <w:r>
        <w:rPr/>
        <w:t>y</w:t>
      </w:r>
      <w:r>
        <w:rPr>
          <w:spacing w:val="-11"/>
        </w:rPr>
        <w:t> </w:t>
      </w:r>
      <w:r>
        <w:rPr/>
        <w:t>ADIF </w:t>
      </w:r>
      <w:r>
        <w:rPr>
          <w:spacing w:val="-2"/>
        </w:rPr>
        <w:t>–</w:t>
      </w:r>
      <w:r>
        <w:rPr>
          <w:spacing w:val="-12"/>
        </w:rPr>
        <w:t> </w:t>
      </w:r>
      <w:r>
        <w:rPr>
          <w:spacing w:val="-2"/>
        </w:rPr>
        <w:t>Alta</w:t>
      </w:r>
      <w:r>
        <w:rPr>
          <w:spacing w:val="-12"/>
        </w:rPr>
        <w:t> </w:t>
      </w:r>
      <w:r>
        <w:rPr>
          <w:spacing w:val="-2"/>
        </w:rPr>
        <w:t>Velocidad,</w:t>
      </w:r>
      <w:r>
        <w:rPr>
          <w:spacing w:val="-12"/>
        </w:rPr>
        <w:t> </w:t>
      </w:r>
      <w:r>
        <w:rPr>
          <w:spacing w:val="-2"/>
        </w:rPr>
        <w:t>Comunidad</w:t>
      </w:r>
      <w:r>
        <w:rPr>
          <w:spacing w:val="-11"/>
        </w:rPr>
        <w:t> </w:t>
      </w:r>
      <w:r>
        <w:rPr>
          <w:spacing w:val="-2"/>
        </w:rPr>
        <w:t>Autónoma</w:t>
      </w:r>
      <w:r>
        <w:rPr>
          <w:spacing w:val="-12"/>
        </w:rPr>
        <w:t> </w:t>
      </w:r>
      <w:r>
        <w:rPr>
          <w:spacing w:val="-2"/>
        </w:rPr>
        <w:t>de</w:t>
      </w:r>
      <w:r>
        <w:rPr>
          <w:spacing w:val="-12"/>
        </w:rPr>
        <w:t> </w:t>
      </w:r>
      <w:r>
        <w:rPr>
          <w:spacing w:val="-2"/>
        </w:rPr>
        <w:t>la</w:t>
      </w:r>
      <w:r>
        <w:rPr>
          <w:spacing w:val="-12"/>
        </w:rPr>
        <w:t> </w:t>
      </w:r>
      <w:r>
        <w:rPr>
          <w:spacing w:val="-2"/>
        </w:rPr>
        <w:t>Región</w:t>
      </w:r>
      <w:r>
        <w:rPr>
          <w:spacing w:val="-11"/>
        </w:rPr>
        <w:t> </w:t>
      </w:r>
      <w:r>
        <w:rPr>
          <w:spacing w:val="-2"/>
        </w:rPr>
        <w:t>de</w:t>
      </w:r>
      <w:r>
        <w:rPr>
          <w:spacing w:val="-12"/>
        </w:rPr>
        <w:t> </w:t>
      </w:r>
      <w:r>
        <w:rPr>
          <w:spacing w:val="-2"/>
        </w:rPr>
        <w:t>Murcia</w:t>
      </w:r>
      <w:r>
        <w:rPr>
          <w:spacing w:val="-12"/>
        </w:rPr>
        <w:t> </w:t>
      </w:r>
      <w:r>
        <w:rPr>
          <w:spacing w:val="-2"/>
        </w:rPr>
        <w:t>y</w:t>
      </w:r>
      <w:r>
        <w:rPr>
          <w:spacing w:val="-12"/>
        </w:rPr>
        <w:t> </w:t>
      </w:r>
      <w:r>
        <w:rPr>
          <w:spacing w:val="-2"/>
        </w:rPr>
        <w:t>Ayuntamiento</w:t>
      </w:r>
      <w:r>
        <w:rPr>
          <w:spacing w:val="-11"/>
        </w:rPr>
        <w:t> </w:t>
      </w:r>
      <w:r>
        <w:rPr>
          <w:spacing w:val="-2"/>
        </w:rPr>
        <w:t>de</w:t>
      </w:r>
      <w:r>
        <w:rPr>
          <w:spacing w:val="-12"/>
        </w:rPr>
        <w:t> </w:t>
      </w:r>
      <w:r>
        <w:rPr>
          <w:spacing w:val="-2"/>
        </w:rPr>
        <w:t>Murcia</w:t>
      </w:r>
      <w:r>
        <w:rPr>
          <w:spacing w:val="-12"/>
        </w:rPr>
        <w:t> </w:t>
      </w:r>
      <w:r>
        <w:rPr>
          <w:spacing w:val="-2"/>
        </w:rPr>
        <w:t>por</w:t>
      </w:r>
      <w:r>
        <w:rPr>
          <w:spacing w:val="-12"/>
        </w:rPr>
        <w:t> </w:t>
      </w:r>
      <w:r>
        <w:rPr>
          <w:spacing w:val="-2"/>
        </w:rPr>
        <w:t>un</w:t>
      </w:r>
      <w:r>
        <w:rPr/>
        <w:t> </w:t>
      </w:r>
      <w:r>
        <w:rPr>
          <w:spacing w:val="-2"/>
        </w:rPr>
        <w:t>total </w:t>
      </w:r>
      <w:r>
        <w:rPr/>
        <w:t>de 71.070.604,00 euros cuyas aportaciones se acordaron en dos fases, la primera por un importe de 30.186.477,00 euros y la segunda, por importe de 40.884.127,00 euros. Las aportaciones fueron satisfechas</w:t>
      </w:r>
      <w:r>
        <w:rPr>
          <w:spacing w:val="-1"/>
        </w:rPr>
        <w:t> </w:t>
      </w:r>
      <w:r>
        <w:rPr/>
        <w:t>por los accionistas entre 2020 y</w:t>
      </w:r>
      <w:r>
        <w:rPr>
          <w:spacing w:val="-1"/>
        </w:rPr>
        <w:t> </w:t>
      </w:r>
      <w:r>
        <w:rPr/>
        <w:t>2021,</w:t>
      </w:r>
      <w:r>
        <w:rPr>
          <w:spacing w:val="-1"/>
        </w:rPr>
        <w:t> </w:t>
      </w:r>
      <w:r>
        <w:rPr/>
        <w:t>cuyo vencimiento es</w:t>
      </w:r>
      <w:r>
        <w:rPr>
          <w:spacing w:val="-1"/>
        </w:rPr>
        <w:t> </w:t>
      </w:r>
      <w:r>
        <w:rPr/>
        <w:t>a 31 de</w:t>
      </w:r>
      <w:r>
        <w:rPr>
          <w:spacing w:val="-1"/>
        </w:rPr>
        <w:t> </w:t>
      </w:r>
      <w:r>
        <w:rPr/>
        <w:t>diciembre de 2036. El préstamo</w:t>
      </w:r>
      <w:r>
        <w:rPr>
          <w:spacing w:val="-14"/>
        </w:rPr>
        <w:t> </w:t>
      </w:r>
      <w:r>
        <w:rPr/>
        <w:t>devenga</w:t>
      </w:r>
      <w:r>
        <w:rPr>
          <w:spacing w:val="-13"/>
        </w:rPr>
        <w:t> </w:t>
      </w:r>
      <w:r>
        <w:rPr/>
        <w:t>intereses</w:t>
      </w:r>
      <w:r>
        <w:rPr>
          <w:spacing w:val="-14"/>
        </w:rPr>
        <w:t> </w:t>
      </w:r>
      <w:r>
        <w:rPr/>
        <w:t>a</w:t>
      </w:r>
      <w:r>
        <w:rPr>
          <w:spacing w:val="-13"/>
        </w:rPr>
        <w:t> </w:t>
      </w:r>
      <w:r>
        <w:rPr/>
        <w:t>tipo</w:t>
      </w:r>
      <w:r>
        <w:rPr>
          <w:spacing w:val="-13"/>
        </w:rPr>
        <w:t> </w:t>
      </w:r>
      <w:r>
        <w:rPr/>
        <w:t>fijo</w:t>
      </w:r>
      <w:r>
        <w:rPr>
          <w:spacing w:val="-14"/>
        </w:rPr>
        <w:t> </w:t>
      </w:r>
      <w:r>
        <w:rPr/>
        <w:t>del</w:t>
      </w:r>
      <w:r>
        <w:rPr>
          <w:spacing w:val="-13"/>
        </w:rPr>
        <w:t> </w:t>
      </w:r>
      <w:r>
        <w:rPr/>
        <w:t>5%</w:t>
      </w:r>
      <w:r>
        <w:rPr>
          <w:spacing w:val="-14"/>
        </w:rPr>
        <w:t> </w:t>
      </w:r>
      <w:r>
        <w:rPr/>
        <w:t>del</w:t>
      </w:r>
      <w:r>
        <w:rPr>
          <w:spacing w:val="-13"/>
        </w:rPr>
        <w:t> </w:t>
      </w:r>
      <w:r>
        <w:rPr/>
        <w:t>beneficio</w:t>
      </w:r>
      <w:r>
        <w:rPr>
          <w:spacing w:val="-14"/>
        </w:rPr>
        <w:t> </w:t>
      </w:r>
      <w:r>
        <w:rPr/>
        <w:t>después</w:t>
      </w:r>
      <w:r>
        <w:rPr>
          <w:spacing w:val="-13"/>
        </w:rPr>
        <w:t> </w:t>
      </w:r>
      <w:r>
        <w:rPr/>
        <w:t>de</w:t>
      </w:r>
      <w:r>
        <w:rPr>
          <w:spacing w:val="-14"/>
        </w:rPr>
        <w:t> </w:t>
      </w:r>
      <w:r>
        <w:rPr/>
        <w:t>impuestos</w:t>
      </w:r>
      <w:r>
        <w:rPr>
          <w:spacing w:val="-13"/>
        </w:rPr>
        <w:t> </w:t>
      </w:r>
      <w:r>
        <w:rPr/>
        <w:t>si</w:t>
      </w:r>
      <w:r>
        <w:rPr>
          <w:spacing w:val="-14"/>
        </w:rPr>
        <w:t> </w:t>
      </w:r>
      <w:r>
        <w:rPr/>
        <w:t>la</w:t>
      </w:r>
      <w:r>
        <w:rPr>
          <w:spacing w:val="-13"/>
        </w:rPr>
        <w:t> </w:t>
      </w:r>
      <w:r>
        <w:rPr/>
        <w:t>Sociedad</w:t>
      </w:r>
      <w:r>
        <w:rPr>
          <w:spacing w:val="-14"/>
        </w:rPr>
        <w:t> </w:t>
      </w:r>
      <w:r>
        <w:rPr/>
        <w:t>incurre en resultados positivos después de impuestos.</w:t>
      </w:r>
    </w:p>
    <w:p>
      <w:pPr>
        <w:pStyle w:val="BodyText"/>
        <w:spacing w:after="0" w:line="247" w:lineRule="auto"/>
        <w:jc w:val="both"/>
        <w:sectPr>
          <w:pgSz w:w="11910" w:h="16840"/>
          <w:pgMar w:header="694" w:footer="690" w:top="1920" w:bottom="880" w:left="708" w:right="425"/>
        </w:sectPr>
      </w:pPr>
    </w:p>
    <w:p>
      <w:pPr>
        <w:pStyle w:val="BodyText"/>
        <w:spacing w:line="247" w:lineRule="auto" w:before="187"/>
        <w:ind w:left="995" w:right="907"/>
        <w:jc w:val="both"/>
      </w:pPr>
      <w:r>
        <w:rPr/>
        <w:t>Conforme</w:t>
      </w:r>
      <w:r>
        <w:rPr>
          <w:spacing w:val="-5"/>
        </w:rPr>
        <w:t> </w:t>
      </w:r>
      <w:r>
        <w:rPr/>
        <w:t>a</w:t>
      </w:r>
      <w:r>
        <w:rPr>
          <w:spacing w:val="-5"/>
        </w:rPr>
        <w:t> </w:t>
      </w:r>
      <w:r>
        <w:rPr/>
        <w:t>lo</w:t>
      </w:r>
      <w:r>
        <w:rPr>
          <w:spacing w:val="-4"/>
        </w:rPr>
        <w:t> </w:t>
      </w:r>
      <w:r>
        <w:rPr/>
        <w:t>establecido</w:t>
      </w:r>
      <w:r>
        <w:rPr>
          <w:spacing w:val="-5"/>
        </w:rPr>
        <w:t> </w:t>
      </w:r>
      <w:r>
        <w:rPr/>
        <w:t>en</w:t>
      </w:r>
      <w:r>
        <w:rPr>
          <w:spacing w:val="-4"/>
        </w:rPr>
        <w:t> </w:t>
      </w:r>
      <w:r>
        <w:rPr/>
        <w:t>la</w:t>
      </w:r>
      <w:r>
        <w:rPr>
          <w:spacing w:val="-5"/>
        </w:rPr>
        <w:t> </w:t>
      </w:r>
      <w:r>
        <w:rPr/>
        <w:t>cláusula</w:t>
      </w:r>
      <w:r>
        <w:rPr>
          <w:spacing w:val="-4"/>
        </w:rPr>
        <w:t> </w:t>
      </w:r>
      <w:r>
        <w:rPr/>
        <w:t>sexta</w:t>
      </w:r>
      <w:r>
        <w:rPr>
          <w:spacing w:val="-5"/>
        </w:rPr>
        <w:t> </w:t>
      </w:r>
      <w:r>
        <w:rPr/>
        <w:t>de</w:t>
      </w:r>
      <w:r>
        <w:rPr>
          <w:spacing w:val="-5"/>
        </w:rPr>
        <w:t> </w:t>
      </w:r>
      <w:r>
        <w:rPr/>
        <w:t>la</w:t>
      </w:r>
      <w:r>
        <w:rPr>
          <w:spacing w:val="-6"/>
        </w:rPr>
        <w:t> </w:t>
      </w:r>
      <w:r>
        <w:rPr/>
        <w:t>Adenda</w:t>
      </w:r>
      <w:r>
        <w:rPr>
          <w:spacing w:val="-4"/>
        </w:rPr>
        <w:t> </w:t>
      </w:r>
      <w:r>
        <w:rPr/>
        <w:t>Modificativa</w:t>
      </w:r>
      <w:r>
        <w:rPr>
          <w:spacing w:val="-4"/>
        </w:rPr>
        <w:t> </w:t>
      </w:r>
      <w:r>
        <w:rPr/>
        <w:t>del</w:t>
      </w:r>
      <w:r>
        <w:rPr>
          <w:spacing w:val="-4"/>
        </w:rPr>
        <w:t> </w:t>
      </w:r>
      <w:r>
        <w:rPr/>
        <w:t>Convenio</w:t>
      </w:r>
      <w:r>
        <w:rPr>
          <w:spacing w:val="-4"/>
        </w:rPr>
        <w:t> </w:t>
      </w:r>
      <w:r>
        <w:rPr/>
        <w:t>de</w:t>
      </w:r>
      <w:r>
        <w:rPr>
          <w:spacing w:val="-6"/>
        </w:rPr>
        <w:t> </w:t>
      </w:r>
      <w:r>
        <w:rPr/>
        <w:t>2006,</w:t>
      </w:r>
      <w:r>
        <w:rPr>
          <w:spacing w:val="-5"/>
        </w:rPr>
        <w:t> </w:t>
      </w:r>
      <w:r>
        <w:rPr/>
        <w:t>con fecha 28 de julio de 2022 se informó a la Comisión Técnica del contenido del “Informe Reajuste Anualidades. Ejercicio 2022 y siguientes” en el que se actualizan las anualidades incluidas en la mencionada Adenda Modificativa conforme al detalle siguiente:</w:t>
      </w:r>
    </w:p>
    <w:p>
      <w:pPr>
        <w:pStyle w:val="BodyText"/>
        <w:spacing w:before="28"/>
        <w:rPr>
          <w:sz w:val="20"/>
        </w:rPr>
      </w:pPr>
    </w:p>
    <w:tbl>
      <w:tblPr>
        <w:tblW w:w="0" w:type="auto"/>
        <w:jc w:val="left"/>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3"/>
        <w:gridCol w:w="774"/>
        <w:gridCol w:w="773"/>
        <w:gridCol w:w="773"/>
        <w:gridCol w:w="657"/>
        <w:gridCol w:w="709"/>
        <w:gridCol w:w="773"/>
        <w:gridCol w:w="773"/>
        <w:gridCol w:w="775"/>
        <w:gridCol w:w="773"/>
        <w:gridCol w:w="773"/>
        <w:gridCol w:w="773"/>
      </w:tblGrid>
      <w:tr>
        <w:trPr>
          <w:trHeight w:val="252" w:hRule="atLeast"/>
        </w:trPr>
        <w:tc>
          <w:tcPr>
            <w:tcW w:w="1833" w:type="dxa"/>
            <w:tcBorders>
              <w:bottom w:val="single" w:sz="8" w:space="0" w:color="000000"/>
              <w:right w:val="single" w:sz="8" w:space="0" w:color="000000"/>
            </w:tcBorders>
          </w:tcPr>
          <w:p>
            <w:pPr>
              <w:pStyle w:val="TableParagraph"/>
              <w:spacing w:before="46"/>
              <w:ind w:left="14" w:right="3"/>
              <w:jc w:val="center"/>
              <w:rPr>
                <w:b/>
                <w:sz w:val="14"/>
              </w:rPr>
            </w:pPr>
            <w:r>
              <w:rPr>
                <w:b/>
                <w:spacing w:val="-2"/>
                <w:sz w:val="14"/>
              </w:rPr>
              <w:t>Aportaciones</w:t>
            </w:r>
            <w:r>
              <w:rPr>
                <w:b/>
                <w:spacing w:val="15"/>
                <w:sz w:val="14"/>
              </w:rPr>
              <w:t> </w:t>
            </w:r>
            <w:r>
              <w:rPr>
                <w:b/>
                <w:spacing w:val="-2"/>
                <w:sz w:val="14"/>
              </w:rPr>
              <w:t>Accionistas</w:t>
            </w:r>
          </w:p>
        </w:tc>
        <w:tc>
          <w:tcPr>
            <w:tcW w:w="774" w:type="dxa"/>
            <w:tcBorders>
              <w:left w:val="single" w:sz="8" w:space="0" w:color="000000"/>
              <w:bottom w:val="single" w:sz="8" w:space="0" w:color="000000"/>
              <w:right w:val="single" w:sz="8" w:space="0" w:color="000000"/>
            </w:tcBorders>
          </w:tcPr>
          <w:p>
            <w:pPr>
              <w:pStyle w:val="TableParagraph"/>
              <w:spacing w:before="46"/>
              <w:ind w:right="125"/>
              <w:jc w:val="right"/>
              <w:rPr>
                <w:b/>
                <w:sz w:val="14"/>
              </w:rPr>
            </w:pPr>
            <w:r>
              <w:rPr>
                <w:b/>
                <w:spacing w:val="-2"/>
                <w:sz w:val="14"/>
              </w:rPr>
              <w:t>TOTAL</w:t>
            </w:r>
          </w:p>
        </w:tc>
        <w:tc>
          <w:tcPr>
            <w:tcW w:w="773" w:type="dxa"/>
            <w:tcBorders>
              <w:left w:val="single" w:sz="8" w:space="0" w:color="000000"/>
              <w:bottom w:val="single" w:sz="8" w:space="0" w:color="000000"/>
              <w:right w:val="single" w:sz="8" w:space="0" w:color="000000"/>
            </w:tcBorders>
          </w:tcPr>
          <w:p>
            <w:pPr>
              <w:pStyle w:val="TableParagraph"/>
              <w:spacing w:before="46"/>
              <w:ind w:left="240"/>
              <w:rPr>
                <w:b/>
                <w:sz w:val="14"/>
              </w:rPr>
            </w:pPr>
            <w:r>
              <w:rPr>
                <w:b/>
                <w:spacing w:val="-4"/>
                <w:sz w:val="14"/>
              </w:rPr>
              <w:t>2019</w:t>
            </w:r>
          </w:p>
        </w:tc>
        <w:tc>
          <w:tcPr>
            <w:tcW w:w="773" w:type="dxa"/>
            <w:tcBorders>
              <w:left w:val="single" w:sz="8" w:space="0" w:color="000000"/>
              <w:bottom w:val="single" w:sz="8" w:space="0" w:color="000000"/>
              <w:right w:val="single" w:sz="8" w:space="0" w:color="000000"/>
            </w:tcBorders>
          </w:tcPr>
          <w:p>
            <w:pPr>
              <w:pStyle w:val="TableParagraph"/>
              <w:spacing w:before="46"/>
              <w:ind w:left="240"/>
              <w:rPr>
                <w:b/>
                <w:sz w:val="14"/>
              </w:rPr>
            </w:pPr>
            <w:r>
              <w:rPr>
                <w:b/>
                <w:spacing w:val="-4"/>
                <w:sz w:val="14"/>
              </w:rPr>
              <w:t>2020</w:t>
            </w:r>
          </w:p>
        </w:tc>
        <w:tc>
          <w:tcPr>
            <w:tcW w:w="657" w:type="dxa"/>
            <w:tcBorders>
              <w:left w:val="single" w:sz="8" w:space="0" w:color="000000"/>
              <w:bottom w:val="single" w:sz="8" w:space="0" w:color="000000"/>
              <w:right w:val="single" w:sz="8" w:space="0" w:color="000000"/>
            </w:tcBorders>
          </w:tcPr>
          <w:p>
            <w:pPr>
              <w:pStyle w:val="TableParagraph"/>
              <w:spacing w:before="46"/>
              <w:ind w:left="183"/>
              <w:rPr>
                <w:b/>
                <w:sz w:val="14"/>
              </w:rPr>
            </w:pPr>
            <w:r>
              <w:rPr>
                <w:b/>
                <w:spacing w:val="-4"/>
                <w:sz w:val="14"/>
              </w:rPr>
              <w:t>2021</w:t>
            </w:r>
          </w:p>
        </w:tc>
        <w:tc>
          <w:tcPr>
            <w:tcW w:w="709" w:type="dxa"/>
            <w:tcBorders>
              <w:left w:val="single" w:sz="8" w:space="0" w:color="000000"/>
              <w:bottom w:val="single" w:sz="8" w:space="0" w:color="000000"/>
              <w:right w:val="single" w:sz="8" w:space="0" w:color="000000"/>
            </w:tcBorders>
          </w:tcPr>
          <w:p>
            <w:pPr>
              <w:pStyle w:val="TableParagraph"/>
              <w:spacing w:before="46"/>
              <w:ind w:left="210"/>
              <w:rPr>
                <w:b/>
                <w:sz w:val="14"/>
              </w:rPr>
            </w:pPr>
            <w:r>
              <w:rPr>
                <w:b/>
                <w:spacing w:val="-4"/>
                <w:sz w:val="14"/>
              </w:rPr>
              <w:t>2022</w:t>
            </w:r>
          </w:p>
        </w:tc>
        <w:tc>
          <w:tcPr>
            <w:tcW w:w="773" w:type="dxa"/>
            <w:tcBorders>
              <w:left w:val="single" w:sz="8" w:space="0" w:color="000000"/>
              <w:bottom w:val="single" w:sz="8" w:space="0" w:color="000000"/>
              <w:right w:val="single" w:sz="8" w:space="0" w:color="000000"/>
            </w:tcBorders>
          </w:tcPr>
          <w:p>
            <w:pPr>
              <w:pStyle w:val="TableParagraph"/>
              <w:spacing w:before="46"/>
              <w:ind w:left="242"/>
              <w:rPr>
                <w:b/>
                <w:sz w:val="14"/>
              </w:rPr>
            </w:pPr>
            <w:r>
              <w:rPr>
                <w:b/>
                <w:spacing w:val="-4"/>
                <w:sz w:val="14"/>
              </w:rPr>
              <w:t>2023</w:t>
            </w:r>
          </w:p>
        </w:tc>
        <w:tc>
          <w:tcPr>
            <w:tcW w:w="773" w:type="dxa"/>
            <w:tcBorders>
              <w:left w:val="single" w:sz="8" w:space="0" w:color="000000"/>
              <w:bottom w:val="single" w:sz="8" w:space="0" w:color="000000"/>
              <w:right w:val="single" w:sz="8" w:space="0" w:color="000000"/>
            </w:tcBorders>
          </w:tcPr>
          <w:p>
            <w:pPr>
              <w:pStyle w:val="TableParagraph"/>
              <w:spacing w:before="46"/>
              <w:ind w:left="242"/>
              <w:rPr>
                <w:b/>
                <w:sz w:val="14"/>
              </w:rPr>
            </w:pPr>
            <w:r>
              <w:rPr>
                <w:b/>
                <w:spacing w:val="-4"/>
                <w:sz w:val="14"/>
              </w:rPr>
              <w:t>2024</w:t>
            </w:r>
          </w:p>
        </w:tc>
        <w:tc>
          <w:tcPr>
            <w:tcW w:w="775" w:type="dxa"/>
            <w:tcBorders>
              <w:left w:val="single" w:sz="8" w:space="0" w:color="000000"/>
              <w:bottom w:val="single" w:sz="8" w:space="0" w:color="000000"/>
              <w:right w:val="single" w:sz="8" w:space="0" w:color="000000"/>
            </w:tcBorders>
          </w:tcPr>
          <w:p>
            <w:pPr>
              <w:pStyle w:val="TableParagraph"/>
              <w:spacing w:before="46"/>
              <w:ind w:left="242"/>
              <w:rPr>
                <w:b/>
                <w:sz w:val="14"/>
              </w:rPr>
            </w:pPr>
            <w:r>
              <w:rPr>
                <w:b/>
                <w:spacing w:val="-4"/>
                <w:sz w:val="14"/>
              </w:rPr>
              <w:t>2025</w:t>
            </w:r>
          </w:p>
        </w:tc>
        <w:tc>
          <w:tcPr>
            <w:tcW w:w="773" w:type="dxa"/>
            <w:tcBorders>
              <w:left w:val="single" w:sz="8" w:space="0" w:color="000000"/>
              <w:bottom w:val="single" w:sz="8" w:space="0" w:color="000000"/>
              <w:right w:val="single" w:sz="8" w:space="0" w:color="000000"/>
            </w:tcBorders>
          </w:tcPr>
          <w:p>
            <w:pPr>
              <w:pStyle w:val="TableParagraph"/>
              <w:spacing w:before="46"/>
              <w:ind w:left="240"/>
              <w:rPr>
                <w:b/>
                <w:sz w:val="14"/>
              </w:rPr>
            </w:pPr>
            <w:r>
              <w:rPr>
                <w:b/>
                <w:spacing w:val="-4"/>
                <w:sz w:val="14"/>
              </w:rPr>
              <w:t>2026</w:t>
            </w:r>
          </w:p>
        </w:tc>
        <w:tc>
          <w:tcPr>
            <w:tcW w:w="773" w:type="dxa"/>
            <w:tcBorders>
              <w:left w:val="single" w:sz="8" w:space="0" w:color="000000"/>
              <w:bottom w:val="single" w:sz="8" w:space="0" w:color="000000"/>
              <w:right w:val="single" w:sz="8" w:space="0" w:color="000000"/>
            </w:tcBorders>
          </w:tcPr>
          <w:p>
            <w:pPr>
              <w:pStyle w:val="TableParagraph"/>
              <w:spacing w:before="46"/>
              <w:ind w:left="240"/>
              <w:rPr>
                <w:b/>
                <w:sz w:val="14"/>
              </w:rPr>
            </w:pPr>
            <w:r>
              <w:rPr>
                <w:b/>
                <w:spacing w:val="-4"/>
                <w:sz w:val="14"/>
              </w:rPr>
              <w:t>2027</w:t>
            </w:r>
          </w:p>
        </w:tc>
        <w:tc>
          <w:tcPr>
            <w:tcW w:w="773" w:type="dxa"/>
            <w:tcBorders>
              <w:left w:val="single" w:sz="8" w:space="0" w:color="000000"/>
              <w:bottom w:val="single" w:sz="8" w:space="0" w:color="000000"/>
            </w:tcBorders>
          </w:tcPr>
          <w:p>
            <w:pPr>
              <w:pStyle w:val="TableParagraph"/>
              <w:spacing w:before="46"/>
              <w:ind w:left="240"/>
              <w:rPr>
                <w:b/>
                <w:sz w:val="14"/>
              </w:rPr>
            </w:pPr>
            <w:r>
              <w:rPr>
                <w:b/>
                <w:spacing w:val="-4"/>
                <w:sz w:val="14"/>
              </w:rPr>
              <w:t>2028</w:t>
            </w:r>
          </w:p>
        </w:tc>
      </w:tr>
      <w:tr>
        <w:trPr>
          <w:trHeight w:val="251" w:hRule="atLeast"/>
        </w:trPr>
        <w:tc>
          <w:tcPr>
            <w:tcW w:w="1833" w:type="dxa"/>
            <w:tcBorders>
              <w:top w:val="single" w:sz="8" w:space="0" w:color="000000"/>
              <w:bottom w:val="single" w:sz="8" w:space="0" w:color="000000"/>
              <w:right w:val="single" w:sz="8" w:space="0" w:color="000000"/>
            </w:tcBorders>
          </w:tcPr>
          <w:p>
            <w:pPr>
              <w:pStyle w:val="TableParagraph"/>
              <w:spacing w:before="45"/>
              <w:ind w:left="14"/>
              <w:jc w:val="center"/>
              <w:rPr>
                <w:sz w:val="14"/>
              </w:rPr>
            </w:pPr>
            <w:r>
              <w:rPr>
                <w:spacing w:val="-2"/>
                <w:sz w:val="14"/>
              </w:rPr>
              <w:t>ADIF-</w:t>
            </w:r>
            <w:r>
              <w:rPr>
                <w:spacing w:val="-5"/>
                <w:sz w:val="14"/>
              </w:rPr>
              <w:t>AV</w:t>
            </w:r>
          </w:p>
        </w:tc>
        <w:tc>
          <w:tcPr>
            <w:tcW w:w="774"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341,925</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46,370</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46,907</w:t>
            </w:r>
          </w:p>
        </w:tc>
        <w:tc>
          <w:tcPr>
            <w:tcW w:w="657" w:type="dxa"/>
            <w:tcBorders>
              <w:top w:val="single" w:sz="8" w:space="0" w:color="000000"/>
              <w:left w:val="single" w:sz="8" w:space="0" w:color="000000"/>
              <w:bottom w:val="single" w:sz="8" w:space="0" w:color="000000"/>
              <w:right w:val="single" w:sz="8" w:space="0" w:color="000000"/>
            </w:tcBorders>
          </w:tcPr>
          <w:p>
            <w:pPr>
              <w:pStyle w:val="TableParagraph"/>
              <w:rPr>
                <w:sz w:val="18"/>
              </w:rPr>
            </w:pPr>
          </w:p>
        </w:tc>
        <w:tc>
          <w:tcPr>
            <w:tcW w:w="709" w:type="dxa"/>
            <w:tcBorders>
              <w:top w:val="single" w:sz="8" w:space="0" w:color="000000"/>
              <w:left w:val="single" w:sz="8" w:space="0" w:color="000000"/>
              <w:bottom w:val="single" w:sz="8" w:space="0" w:color="000000"/>
              <w:right w:val="single" w:sz="8" w:space="0" w:color="000000"/>
            </w:tcBorders>
          </w:tcPr>
          <w:p>
            <w:pPr>
              <w:pStyle w:val="TableParagraph"/>
              <w:rPr>
                <w:sz w:val="18"/>
              </w:rPr>
            </w:pP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2"/>
              <w:jc w:val="right"/>
              <w:rPr>
                <w:sz w:val="14"/>
              </w:rPr>
            </w:pPr>
            <w:r>
              <w:rPr>
                <w:spacing w:val="-2"/>
                <w:sz w:val="14"/>
              </w:rPr>
              <w:t>31,951</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2"/>
              <w:jc w:val="right"/>
              <w:rPr>
                <w:sz w:val="14"/>
              </w:rPr>
            </w:pPr>
            <w:r>
              <w:rPr>
                <w:spacing w:val="-2"/>
                <w:sz w:val="14"/>
              </w:rPr>
              <w:t>105,600</w:t>
            </w:r>
          </w:p>
        </w:tc>
        <w:tc>
          <w:tcPr>
            <w:tcW w:w="775"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66,000</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16,500</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5"/>
              <w:ind w:right="54"/>
              <w:jc w:val="right"/>
              <w:rPr>
                <w:sz w:val="14"/>
              </w:rPr>
            </w:pPr>
            <w:r>
              <w:rPr>
                <w:spacing w:val="-2"/>
                <w:sz w:val="14"/>
              </w:rPr>
              <w:t>16,500</w:t>
            </w:r>
          </w:p>
        </w:tc>
        <w:tc>
          <w:tcPr>
            <w:tcW w:w="773" w:type="dxa"/>
            <w:tcBorders>
              <w:top w:val="single" w:sz="8" w:space="0" w:color="000000"/>
              <w:left w:val="single" w:sz="8" w:space="0" w:color="000000"/>
              <w:bottom w:val="single" w:sz="8" w:space="0" w:color="000000"/>
            </w:tcBorders>
          </w:tcPr>
          <w:p>
            <w:pPr>
              <w:pStyle w:val="TableParagraph"/>
              <w:spacing w:before="45"/>
              <w:ind w:right="59"/>
              <w:jc w:val="right"/>
              <w:rPr>
                <w:sz w:val="14"/>
              </w:rPr>
            </w:pPr>
            <w:r>
              <w:rPr>
                <w:spacing w:val="-2"/>
                <w:sz w:val="14"/>
              </w:rPr>
              <w:t>12,098</w:t>
            </w:r>
          </w:p>
        </w:tc>
      </w:tr>
      <w:tr>
        <w:trPr>
          <w:trHeight w:val="252" w:hRule="atLeast"/>
        </w:trPr>
        <w:tc>
          <w:tcPr>
            <w:tcW w:w="1833" w:type="dxa"/>
            <w:tcBorders>
              <w:top w:val="single" w:sz="8" w:space="0" w:color="000000"/>
              <w:bottom w:val="single" w:sz="8" w:space="0" w:color="000000"/>
              <w:right w:val="single" w:sz="8" w:space="0" w:color="000000"/>
            </w:tcBorders>
          </w:tcPr>
          <w:p>
            <w:pPr>
              <w:pStyle w:val="TableParagraph"/>
              <w:spacing w:before="46"/>
              <w:ind w:left="14" w:right="1"/>
              <w:jc w:val="center"/>
              <w:rPr>
                <w:sz w:val="14"/>
              </w:rPr>
            </w:pPr>
            <w:r>
              <w:rPr>
                <w:sz w:val="14"/>
              </w:rPr>
              <w:t>Región</w:t>
            </w:r>
            <w:r>
              <w:rPr>
                <w:spacing w:val="-5"/>
                <w:sz w:val="14"/>
              </w:rPr>
              <w:t> </w:t>
            </w:r>
            <w:r>
              <w:rPr>
                <w:sz w:val="14"/>
              </w:rPr>
              <w:t>de</w:t>
            </w:r>
            <w:r>
              <w:rPr>
                <w:spacing w:val="-1"/>
                <w:sz w:val="14"/>
              </w:rPr>
              <w:t> </w:t>
            </w:r>
            <w:r>
              <w:rPr>
                <w:spacing w:val="-2"/>
                <w:sz w:val="14"/>
              </w:rPr>
              <w:t>Murcia</w:t>
            </w:r>
          </w:p>
        </w:tc>
        <w:tc>
          <w:tcPr>
            <w:tcW w:w="774"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134,697</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18,267</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18,478</w:t>
            </w:r>
          </w:p>
        </w:tc>
        <w:tc>
          <w:tcPr>
            <w:tcW w:w="657" w:type="dxa"/>
            <w:tcBorders>
              <w:top w:val="single" w:sz="8" w:space="0" w:color="000000"/>
              <w:left w:val="single" w:sz="8" w:space="0" w:color="000000"/>
              <w:bottom w:val="single" w:sz="8" w:space="0" w:color="000000"/>
              <w:right w:val="single" w:sz="8" w:space="0" w:color="000000"/>
            </w:tcBorders>
          </w:tcPr>
          <w:p>
            <w:pPr>
              <w:pStyle w:val="TableParagraph"/>
              <w:rPr>
                <w:sz w:val="18"/>
              </w:rPr>
            </w:pPr>
          </w:p>
        </w:tc>
        <w:tc>
          <w:tcPr>
            <w:tcW w:w="709" w:type="dxa"/>
            <w:tcBorders>
              <w:top w:val="single" w:sz="8" w:space="0" w:color="000000"/>
              <w:left w:val="single" w:sz="8" w:space="0" w:color="000000"/>
              <w:bottom w:val="single" w:sz="8" w:space="0" w:color="000000"/>
              <w:right w:val="single" w:sz="8" w:space="0" w:color="000000"/>
            </w:tcBorders>
          </w:tcPr>
          <w:p>
            <w:pPr>
              <w:pStyle w:val="TableParagraph"/>
              <w:rPr>
                <w:sz w:val="18"/>
              </w:rPr>
            </w:pP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2"/>
              <w:jc w:val="right"/>
              <w:rPr>
                <w:sz w:val="14"/>
              </w:rPr>
            </w:pPr>
            <w:r>
              <w:rPr>
                <w:spacing w:val="-2"/>
                <w:sz w:val="14"/>
              </w:rPr>
              <w:t>12,587</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2"/>
              <w:jc w:val="right"/>
              <w:rPr>
                <w:sz w:val="14"/>
              </w:rPr>
            </w:pPr>
            <w:r>
              <w:rPr>
                <w:spacing w:val="-2"/>
                <w:sz w:val="14"/>
              </w:rPr>
              <w:t>41,600</w:t>
            </w:r>
          </w:p>
        </w:tc>
        <w:tc>
          <w:tcPr>
            <w:tcW w:w="775"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26,000</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6,500</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6,500</w:t>
            </w:r>
          </w:p>
        </w:tc>
        <w:tc>
          <w:tcPr>
            <w:tcW w:w="773" w:type="dxa"/>
            <w:tcBorders>
              <w:top w:val="single" w:sz="8" w:space="0" w:color="000000"/>
              <w:left w:val="single" w:sz="8" w:space="0" w:color="000000"/>
              <w:bottom w:val="single" w:sz="8" w:space="0" w:color="000000"/>
            </w:tcBorders>
          </w:tcPr>
          <w:p>
            <w:pPr>
              <w:pStyle w:val="TableParagraph"/>
              <w:spacing w:before="46"/>
              <w:ind w:right="59"/>
              <w:jc w:val="right"/>
              <w:rPr>
                <w:sz w:val="14"/>
              </w:rPr>
            </w:pPr>
            <w:r>
              <w:rPr>
                <w:spacing w:val="-2"/>
                <w:sz w:val="14"/>
              </w:rPr>
              <w:t>4,766</w:t>
            </w:r>
          </w:p>
        </w:tc>
      </w:tr>
      <w:tr>
        <w:trPr>
          <w:trHeight w:val="252" w:hRule="atLeast"/>
        </w:trPr>
        <w:tc>
          <w:tcPr>
            <w:tcW w:w="1833" w:type="dxa"/>
            <w:tcBorders>
              <w:top w:val="single" w:sz="8" w:space="0" w:color="000000"/>
              <w:bottom w:val="single" w:sz="8" w:space="0" w:color="000000"/>
              <w:right w:val="single" w:sz="8" w:space="0" w:color="000000"/>
            </w:tcBorders>
          </w:tcPr>
          <w:p>
            <w:pPr>
              <w:pStyle w:val="TableParagraph"/>
              <w:spacing w:before="46"/>
              <w:ind w:left="14"/>
              <w:jc w:val="center"/>
              <w:rPr>
                <w:sz w:val="14"/>
              </w:rPr>
            </w:pPr>
            <w:r>
              <w:rPr>
                <w:sz w:val="14"/>
              </w:rPr>
              <w:t>Ayuntamiento</w:t>
            </w:r>
            <w:r>
              <w:rPr>
                <w:spacing w:val="-3"/>
                <w:sz w:val="14"/>
              </w:rPr>
              <w:t> </w:t>
            </w:r>
            <w:r>
              <w:rPr>
                <w:sz w:val="14"/>
              </w:rPr>
              <w:t>de</w:t>
            </w:r>
            <w:r>
              <w:rPr>
                <w:spacing w:val="-3"/>
                <w:sz w:val="14"/>
              </w:rPr>
              <w:t> </w:t>
            </w:r>
            <w:r>
              <w:rPr>
                <w:spacing w:val="-2"/>
                <w:sz w:val="14"/>
              </w:rPr>
              <w:t>Murcia</w:t>
            </w:r>
          </w:p>
        </w:tc>
        <w:tc>
          <w:tcPr>
            <w:tcW w:w="774"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41,446</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3"/>
              <w:jc w:val="right"/>
              <w:rPr>
                <w:sz w:val="14"/>
              </w:rPr>
            </w:pPr>
            <w:r>
              <w:rPr>
                <w:spacing w:val="-2"/>
                <w:sz w:val="14"/>
              </w:rPr>
              <w:t>5,621</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5,686</w:t>
            </w:r>
          </w:p>
        </w:tc>
        <w:tc>
          <w:tcPr>
            <w:tcW w:w="657" w:type="dxa"/>
            <w:tcBorders>
              <w:top w:val="single" w:sz="8" w:space="0" w:color="000000"/>
              <w:left w:val="single" w:sz="8" w:space="0" w:color="000000"/>
              <w:bottom w:val="single" w:sz="8" w:space="0" w:color="000000"/>
              <w:right w:val="single" w:sz="8" w:space="0" w:color="000000"/>
            </w:tcBorders>
          </w:tcPr>
          <w:p>
            <w:pPr>
              <w:pStyle w:val="TableParagraph"/>
              <w:rPr>
                <w:sz w:val="18"/>
              </w:rPr>
            </w:pPr>
          </w:p>
        </w:tc>
        <w:tc>
          <w:tcPr>
            <w:tcW w:w="709" w:type="dxa"/>
            <w:tcBorders>
              <w:top w:val="single" w:sz="8" w:space="0" w:color="000000"/>
              <w:left w:val="single" w:sz="8" w:space="0" w:color="000000"/>
              <w:bottom w:val="single" w:sz="8" w:space="0" w:color="000000"/>
              <w:right w:val="single" w:sz="8" w:space="0" w:color="000000"/>
            </w:tcBorders>
          </w:tcPr>
          <w:p>
            <w:pPr>
              <w:pStyle w:val="TableParagraph"/>
              <w:rPr>
                <w:sz w:val="18"/>
              </w:rPr>
            </w:pP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1"/>
              <w:jc w:val="right"/>
              <w:rPr>
                <w:sz w:val="14"/>
              </w:rPr>
            </w:pPr>
            <w:r>
              <w:rPr>
                <w:spacing w:val="-2"/>
                <w:sz w:val="14"/>
              </w:rPr>
              <w:t>3,873</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2"/>
              <w:jc w:val="right"/>
              <w:rPr>
                <w:sz w:val="14"/>
              </w:rPr>
            </w:pPr>
            <w:r>
              <w:rPr>
                <w:spacing w:val="-2"/>
                <w:sz w:val="14"/>
              </w:rPr>
              <w:t>12,800</w:t>
            </w:r>
          </w:p>
        </w:tc>
        <w:tc>
          <w:tcPr>
            <w:tcW w:w="775"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8,000</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2,000</w:t>
            </w:r>
          </w:p>
        </w:tc>
        <w:tc>
          <w:tcPr>
            <w:tcW w:w="773" w:type="dxa"/>
            <w:tcBorders>
              <w:top w:val="single" w:sz="8" w:space="0" w:color="000000"/>
              <w:left w:val="single" w:sz="8" w:space="0" w:color="000000"/>
              <w:bottom w:val="single" w:sz="8" w:space="0" w:color="000000"/>
              <w:right w:val="single" w:sz="8" w:space="0" w:color="000000"/>
            </w:tcBorders>
          </w:tcPr>
          <w:p>
            <w:pPr>
              <w:pStyle w:val="TableParagraph"/>
              <w:spacing w:before="46"/>
              <w:ind w:right="54"/>
              <w:jc w:val="right"/>
              <w:rPr>
                <w:sz w:val="14"/>
              </w:rPr>
            </w:pPr>
            <w:r>
              <w:rPr>
                <w:spacing w:val="-2"/>
                <w:sz w:val="14"/>
              </w:rPr>
              <w:t>2,000</w:t>
            </w:r>
          </w:p>
        </w:tc>
        <w:tc>
          <w:tcPr>
            <w:tcW w:w="773" w:type="dxa"/>
            <w:tcBorders>
              <w:top w:val="single" w:sz="8" w:space="0" w:color="000000"/>
              <w:left w:val="single" w:sz="8" w:space="0" w:color="000000"/>
              <w:bottom w:val="single" w:sz="8" w:space="0" w:color="000000"/>
            </w:tcBorders>
          </w:tcPr>
          <w:p>
            <w:pPr>
              <w:pStyle w:val="TableParagraph"/>
              <w:spacing w:before="46"/>
              <w:ind w:right="59"/>
              <w:jc w:val="right"/>
              <w:rPr>
                <w:sz w:val="14"/>
              </w:rPr>
            </w:pPr>
            <w:r>
              <w:rPr>
                <w:spacing w:val="-2"/>
                <w:sz w:val="14"/>
              </w:rPr>
              <w:t>1,466</w:t>
            </w:r>
          </w:p>
        </w:tc>
      </w:tr>
      <w:tr>
        <w:trPr>
          <w:trHeight w:val="252" w:hRule="atLeast"/>
        </w:trPr>
        <w:tc>
          <w:tcPr>
            <w:tcW w:w="1833" w:type="dxa"/>
            <w:tcBorders>
              <w:top w:val="single" w:sz="8" w:space="0" w:color="000000"/>
              <w:right w:val="single" w:sz="8" w:space="0" w:color="000000"/>
            </w:tcBorders>
          </w:tcPr>
          <w:p>
            <w:pPr>
              <w:pStyle w:val="TableParagraph"/>
              <w:spacing w:before="45"/>
              <w:ind w:left="14" w:right="1"/>
              <w:jc w:val="center"/>
              <w:rPr>
                <w:b/>
                <w:sz w:val="14"/>
              </w:rPr>
            </w:pPr>
            <w:r>
              <w:rPr>
                <w:b/>
                <w:spacing w:val="-2"/>
                <w:sz w:val="14"/>
              </w:rPr>
              <w:t>Total</w:t>
            </w:r>
          </w:p>
        </w:tc>
        <w:tc>
          <w:tcPr>
            <w:tcW w:w="774" w:type="dxa"/>
            <w:tcBorders>
              <w:top w:val="single" w:sz="8" w:space="0" w:color="000000"/>
              <w:left w:val="single" w:sz="8" w:space="0" w:color="000000"/>
              <w:right w:val="single" w:sz="8" w:space="0" w:color="000000"/>
            </w:tcBorders>
          </w:tcPr>
          <w:p>
            <w:pPr>
              <w:pStyle w:val="TableParagraph"/>
              <w:spacing w:before="45"/>
              <w:ind w:right="54"/>
              <w:jc w:val="right"/>
              <w:rPr>
                <w:b/>
                <w:sz w:val="14"/>
              </w:rPr>
            </w:pPr>
            <w:r>
              <w:rPr>
                <w:b/>
                <w:spacing w:val="-2"/>
                <w:sz w:val="14"/>
              </w:rPr>
              <w:t>518,068</w:t>
            </w:r>
          </w:p>
        </w:tc>
        <w:tc>
          <w:tcPr>
            <w:tcW w:w="773" w:type="dxa"/>
            <w:tcBorders>
              <w:top w:val="single" w:sz="8" w:space="0" w:color="000000"/>
              <w:left w:val="single" w:sz="8" w:space="0" w:color="000000"/>
              <w:right w:val="single" w:sz="8" w:space="0" w:color="000000"/>
            </w:tcBorders>
          </w:tcPr>
          <w:p>
            <w:pPr>
              <w:pStyle w:val="TableParagraph"/>
              <w:spacing w:before="45"/>
              <w:ind w:right="54"/>
              <w:jc w:val="right"/>
              <w:rPr>
                <w:b/>
                <w:sz w:val="14"/>
              </w:rPr>
            </w:pPr>
            <w:r>
              <w:rPr>
                <w:b/>
                <w:spacing w:val="-2"/>
                <w:sz w:val="14"/>
              </w:rPr>
              <w:t>70,258</w:t>
            </w:r>
          </w:p>
        </w:tc>
        <w:tc>
          <w:tcPr>
            <w:tcW w:w="773" w:type="dxa"/>
            <w:tcBorders>
              <w:top w:val="single" w:sz="8" w:space="0" w:color="000000"/>
              <w:left w:val="single" w:sz="8" w:space="0" w:color="000000"/>
              <w:right w:val="single" w:sz="8" w:space="0" w:color="000000"/>
            </w:tcBorders>
          </w:tcPr>
          <w:p>
            <w:pPr>
              <w:pStyle w:val="TableParagraph"/>
              <w:spacing w:before="45"/>
              <w:ind w:right="54"/>
              <w:jc w:val="right"/>
              <w:rPr>
                <w:b/>
                <w:sz w:val="14"/>
              </w:rPr>
            </w:pPr>
            <w:r>
              <w:rPr>
                <w:b/>
                <w:spacing w:val="-2"/>
                <w:sz w:val="14"/>
              </w:rPr>
              <w:t>71,071</w:t>
            </w:r>
          </w:p>
        </w:tc>
        <w:tc>
          <w:tcPr>
            <w:tcW w:w="657" w:type="dxa"/>
            <w:tcBorders>
              <w:top w:val="single" w:sz="8" w:space="0" w:color="000000"/>
              <w:left w:val="single" w:sz="8" w:space="0" w:color="000000"/>
              <w:right w:val="single" w:sz="8" w:space="0" w:color="000000"/>
            </w:tcBorders>
          </w:tcPr>
          <w:p>
            <w:pPr>
              <w:pStyle w:val="TableParagraph"/>
              <w:rPr>
                <w:sz w:val="18"/>
              </w:rPr>
            </w:pPr>
          </w:p>
        </w:tc>
        <w:tc>
          <w:tcPr>
            <w:tcW w:w="709" w:type="dxa"/>
            <w:tcBorders>
              <w:top w:val="single" w:sz="8" w:space="0" w:color="000000"/>
              <w:left w:val="single" w:sz="8" w:space="0" w:color="000000"/>
              <w:right w:val="single" w:sz="8" w:space="0" w:color="000000"/>
            </w:tcBorders>
          </w:tcPr>
          <w:p>
            <w:pPr>
              <w:pStyle w:val="TableParagraph"/>
              <w:rPr>
                <w:sz w:val="18"/>
              </w:rPr>
            </w:pPr>
          </w:p>
        </w:tc>
        <w:tc>
          <w:tcPr>
            <w:tcW w:w="773" w:type="dxa"/>
            <w:tcBorders>
              <w:top w:val="single" w:sz="8" w:space="0" w:color="000000"/>
              <w:left w:val="single" w:sz="8" w:space="0" w:color="000000"/>
              <w:right w:val="single" w:sz="8" w:space="0" w:color="000000"/>
            </w:tcBorders>
          </w:tcPr>
          <w:p>
            <w:pPr>
              <w:pStyle w:val="TableParagraph"/>
              <w:spacing w:before="45"/>
              <w:ind w:right="52"/>
              <w:jc w:val="right"/>
              <w:rPr>
                <w:b/>
                <w:sz w:val="14"/>
              </w:rPr>
            </w:pPr>
            <w:r>
              <w:rPr>
                <w:b/>
                <w:spacing w:val="-2"/>
                <w:sz w:val="14"/>
              </w:rPr>
              <w:t>48,411</w:t>
            </w:r>
          </w:p>
        </w:tc>
        <w:tc>
          <w:tcPr>
            <w:tcW w:w="773" w:type="dxa"/>
            <w:tcBorders>
              <w:top w:val="single" w:sz="8" w:space="0" w:color="000000"/>
              <w:left w:val="single" w:sz="8" w:space="0" w:color="000000"/>
              <w:right w:val="single" w:sz="8" w:space="0" w:color="000000"/>
            </w:tcBorders>
          </w:tcPr>
          <w:p>
            <w:pPr>
              <w:pStyle w:val="TableParagraph"/>
              <w:spacing w:before="45"/>
              <w:ind w:right="52"/>
              <w:jc w:val="right"/>
              <w:rPr>
                <w:b/>
                <w:sz w:val="14"/>
              </w:rPr>
            </w:pPr>
            <w:r>
              <w:rPr>
                <w:b/>
                <w:spacing w:val="-2"/>
                <w:sz w:val="14"/>
              </w:rPr>
              <w:t>160,000</w:t>
            </w:r>
          </w:p>
        </w:tc>
        <w:tc>
          <w:tcPr>
            <w:tcW w:w="775" w:type="dxa"/>
            <w:tcBorders>
              <w:top w:val="single" w:sz="8" w:space="0" w:color="000000"/>
              <w:left w:val="single" w:sz="8" w:space="0" w:color="000000"/>
              <w:right w:val="single" w:sz="8" w:space="0" w:color="000000"/>
            </w:tcBorders>
          </w:tcPr>
          <w:p>
            <w:pPr>
              <w:pStyle w:val="TableParagraph"/>
              <w:spacing w:before="45"/>
              <w:ind w:right="54"/>
              <w:jc w:val="right"/>
              <w:rPr>
                <w:b/>
                <w:sz w:val="14"/>
              </w:rPr>
            </w:pPr>
            <w:r>
              <w:rPr>
                <w:b/>
                <w:spacing w:val="-2"/>
                <w:sz w:val="14"/>
              </w:rPr>
              <w:t>100,000</w:t>
            </w:r>
          </w:p>
        </w:tc>
        <w:tc>
          <w:tcPr>
            <w:tcW w:w="773" w:type="dxa"/>
            <w:tcBorders>
              <w:top w:val="single" w:sz="8" w:space="0" w:color="000000"/>
              <w:left w:val="single" w:sz="8" w:space="0" w:color="000000"/>
              <w:right w:val="single" w:sz="8" w:space="0" w:color="000000"/>
            </w:tcBorders>
          </w:tcPr>
          <w:p>
            <w:pPr>
              <w:pStyle w:val="TableParagraph"/>
              <w:spacing w:before="45"/>
              <w:ind w:right="54"/>
              <w:jc w:val="right"/>
              <w:rPr>
                <w:b/>
                <w:sz w:val="14"/>
              </w:rPr>
            </w:pPr>
            <w:r>
              <w:rPr>
                <w:b/>
                <w:spacing w:val="-2"/>
                <w:sz w:val="14"/>
              </w:rPr>
              <w:t>25,000</w:t>
            </w:r>
          </w:p>
        </w:tc>
        <w:tc>
          <w:tcPr>
            <w:tcW w:w="773" w:type="dxa"/>
            <w:tcBorders>
              <w:top w:val="single" w:sz="8" w:space="0" w:color="000000"/>
              <w:left w:val="single" w:sz="8" w:space="0" w:color="000000"/>
              <w:right w:val="single" w:sz="8" w:space="0" w:color="000000"/>
            </w:tcBorders>
          </w:tcPr>
          <w:p>
            <w:pPr>
              <w:pStyle w:val="TableParagraph"/>
              <w:spacing w:before="45"/>
              <w:ind w:right="54"/>
              <w:jc w:val="right"/>
              <w:rPr>
                <w:b/>
                <w:sz w:val="14"/>
              </w:rPr>
            </w:pPr>
            <w:r>
              <w:rPr>
                <w:b/>
                <w:spacing w:val="-2"/>
                <w:sz w:val="14"/>
              </w:rPr>
              <w:t>25,000</w:t>
            </w:r>
          </w:p>
        </w:tc>
        <w:tc>
          <w:tcPr>
            <w:tcW w:w="773" w:type="dxa"/>
            <w:tcBorders>
              <w:top w:val="single" w:sz="8" w:space="0" w:color="000000"/>
              <w:left w:val="single" w:sz="8" w:space="0" w:color="000000"/>
            </w:tcBorders>
          </w:tcPr>
          <w:p>
            <w:pPr>
              <w:pStyle w:val="TableParagraph"/>
              <w:spacing w:before="45"/>
              <w:ind w:right="59"/>
              <w:jc w:val="right"/>
              <w:rPr>
                <w:b/>
                <w:sz w:val="14"/>
              </w:rPr>
            </w:pPr>
            <w:r>
              <w:rPr>
                <w:b/>
                <w:spacing w:val="-2"/>
                <w:sz w:val="14"/>
              </w:rPr>
              <w:t>18,330</w:t>
            </w:r>
          </w:p>
        </w:tc>
      </w:tr>
    </w:tbl>
    <w:p>
      <w:pPr>
        <w:spacing w:before="2"/>
        <w:ind w:left="176" w:right="0" w:firstLine="0"/>
        <w:jc w:val="left"/>
        <w:rPr>
          <w:i/>
          <w:sz w:val="14"/>
        </w:rPr>
      </w:pPr>
      <w:r>
        <w:rPr>
          <w:i/>
          <w:sz w:val="14"/>
        </w:rPr>
        <w:t>(*)</w:t>
      </w:r>
      <w:r>
        <w:rPr>
          <w:i/>
          <w:spacing w:val="-6"/>
          <w:sz w:val="14"/>
        </w:rPr>
        <w:t> </w:t>
      </w:r>
      <w:r>
        <w:rPr>
          <w:i/>
          <w:sz w:val="14"/>
        </w:rPr>
        <w:t>cifras</w:t>
      </w:r>
      <w:r>
        <w:rPr>
          <w:i/>
          <w:spacing w:val="-3"/>
          <w:sz w:val="14"/>
        </w:rPr>
        <w:t> </w:t>
      </w:r>
      <w:r>
        <w:rPr>
          <w:i/>
          <w:sz w:val="14"/>
        </w:rPr>
        <w:t>expresadas</w:t>
      </w:r>
      <w:r>
        <w:rPr>
          <w:i/>
          <w:spacing w:val="-5"/>
          <w:sz w:val="14"/>
        </w:rPr>
        <w:t> </w:t>
      </w:r>
      <w:r>
        <w:rPr>
          <w:i/>
          <w:sz w:val="14"/>
        </w:rPr>
        <w:t>en</w:t>
      </w:r>
      <w:r>
        <w:rPr>
          <w:i/>
          <w:spacing w:val="-4"/>
          <w:sz w:val="14"/>
        </w:rPr>
        <w:t> </w:t>
      </w:r>
      <w:r>
        <w:rPr>
          <w:i/>
          <w:sz w:val="14"/>
        </w:rPr>
        <w:t>millones</w:t>
      </w:r>
      <w:r>
        <w:rPr>
          <w:i/>
          <w:spacing w:val="-4"/>
          <w:sz w:val="14"/>
        </w:rPr>
        <w:t> </w:t>
      </w:r>
      <w:r>
        <w:rPr>
          <w:i/>
          <w:sz w:val="14"/>
        </w:rPr>
        <w:t>de</w:t>
      </w:r>
      <w:r>
        <w:rPr>
          <w:i/>
          <w:spacing w:val="-5"/>
          <w:sz w:val="14"/>
        </w:rPr>
        <w:t> </w:t>
      </w:r>
      <w:r>
        <w:rPr>
          <w:i/>
          <w:spacing w:val="-4"/>
          <w:sz w:val="14"/>
        </w:rPr>
        <w:t>euros</w:t>
      </w:r>
    </w:p>
    <w:p>
      <w:pPr>
        <w:pStyle w:val="BodyText"/>
        <w:spacing w:before="95"/>
        <w:rPr>
          <w:i/>
          <w:sz w:val="14"/>
        </w:rPr>
      </w:pPr>
    </w:p>
    <w:p>
      <w:pPr>
        <w:pStyle w:val="BodyText"/>
        <w:spacing w:line="244" w:lineRule="auto"/>
        <w:ind w:left="995" w:right="907"/>
        <w:jc w:val="both"/>
      </w:pPr>
      <w:r>
        <w:rPr/>
        <w:t>Durante los ejercicios 2023, 2024 y 2025 no se adoptaron nuevos acuerdos a los ya existentes y </w:t>
      </w:r>
      <w:r>
        <w:rPr>
          <w:spacing w:val="-2"/>
        </w:rPr>
        <w:t>mencionados</w:t>
      </w:r>
      <w:r>
        <w:rPr>
          <w:spacing w:val="-4"/>
        </w:rPr>
        <w:t> </w:t>
      </w:r>
      <w:r>
        <w:rPr>
          <w:spacing w:val="-2"/>
        </w:rPr>
        <w:t>anteriormente,</w:t>
      </w:r>
      <w:r>
        <w:rPr>
          <w:spacing w:val="-10"/>
        </w:rPr>
        <w:t> </w:t>
      </w:r>
      <w:r>
        <w:rPr>
          <w:spacing w:val="-2"/>
        </w:rPr>
        <w:t>por</w:t>
      </w:r>
      <w:r>
        <w:rPr>
          <w:spacing w:val="-9"/>
        </w:rPr>
        <w:t> </w:t>
      </w:r>
      <w:r>
        <w:rPr>
          <w:spacing w:val="-2"/>
        </w:rPr>
        <w:t>lo</w:t>
      </w:r>
      <w:r>
        <w:rPr>
          <w:spacing w:val="-8"/>
        </w:rPr>
        <w:t> </w:t>
      </w:r>
      <w:r>
        <w:rPr>
          <w:spacing w:val="-2"/>
        </w:rPr>
        <w:t>que</w:t>
      </w:r>
      <w:r>
        <w:rPr>
          <w:spacing w:val="-8"/>
        </w:rPr>
        <w:t> </w:t>
      </w:r>
      <w:r>
        <w:rPr>
          <w:spacing w:val="-2"/>
        </w:rPr>
        <w:t>está</w:t>
      </w:r>
      <w:r>
        <w:rPr>
          <w:spacing w:val="-9"/>
        </w:rPr>
        <w:t> </w:t>
      </w:r>
      <w:r>
        <w:rPr>
          <w:spacing w:val="-2"/>
        </w:rPr>
        <w:t>vigente</w:t>
      </w:r>
      <w:r>
        <w:rPr>
          <w:spacing w:val="-9"/>
        </w:rPr>
        <w:t> </w:t>
      </w:r>
      <w:r>
        <w:rPr>
          <w:spacing w:val="-2"/>
        </w:rPr>
        <w:t>las</w:t>
      </w:r>
      <w:r>
        <w:rPr>
          <w:spacing w:val="-8"/>
        </w:rPr>
        <w:t> </w:t>
      </w:r>
      <w:r>
        <w:rPr>
          <w:spacing w:val="-2"/>
        </w:rPr>
        <w:t>anualidades</w:t>
      </w:r>
      <w:r>
        <w:rPr>
          <w:spacing w:val="-9"/>
        </w:rPr>
        <w:t> </w:t>
      </w:r>
      <w:r>
        <w:rPr>
          <w:spacing w:val="-2"/>
        </w:rPr>
        <w:t>incluidas</w:t>
      </w:r>
      <w:r>
        <w:rPr>
          <w:spacing w:val="-9"/>
        </w:rPr>
        <w:t> </w:t>
      </w:r>
      <w:r>
        <w:rPr>
          <w:spacing w:val="-2"/>
        </w:rPr>
        <w:t>en</w:t>
      </w:r>
      <w:r>
        <w:rPr>
          <w:spacing w:val="-8"/>
        </w:rPr>
        <w:t> </w:t>
      </w:r>
      <w:r>
        <w:rPr>
          <w:spacing w:val="-2"/>
        </w:rPr>
        <w:t>la</w:t>
      </w:r>
      <w:r>
        <w:rPr>
          <w:spacing w:val="-9"/>
        </w:rPr>
        <w:t> </w:t>
      </w:r>
      <w:r>
        <w:rPr>
          <w:spacing w:val="-2"/>
        </w:rPr>
        <w:t>mencionada</w:t>
      </w:r>
      <w:r>
        <w:rPr>
          <w:spacing w:val="-9"/>
        </w:rPr>
        <w:t> </w:t>
      </w:r>
      <w:r>
        <w:rPr>
          <w:spacing w:val="-2"/>
        </w:rPr>
        <w:t>Adenda </w:t>
      </w:r>
      <w:r>
        <w:rPr/>
        <w:t>Modificativa (véase en el cuadro anterior).</w:t>
      </w:r>
    </w:p>
    <w:p>
      <w:pPr>
        <w:pStyle w:val="BodyText"/>
        <w:spacing w:before="5"/>
      </w:pPr>
    </w:p>
    <w:p>
      <w:pPr>
        <w:pStyle w:val="BodyText"/>
        <w:spacing w:line="247" w:lineRule="auto"/>
        <w:ind w:left="995" w:right="910"/>
        <w:jc w:val="both"/>
      </w:pPr>
      <w:r>
        <w:rPr/>
        <w:t>Con fecha 26 de mayo de 2023 se formalizó otro préstamo participativo entre la Sociedad y ADIF – Alta Velocidad, Comunidad Autónoma de la Región de Murcia y Ayuntamiento de Murcia por un total</w:t>
      </w:r>
      <w:r>
        <w:rPr>
          <w:spacing w:val="-4"/>
        </w:rPr>
        <w:t> </w:t>
      </w:r>
      <w:r>
        <w:rPr/>
        <w:t>de</w:t>
      </w:r>
      <w:r>
        <w:rPr>
          <w:spacing w:val="-4"/>
        </w:rPr>
        <w:t> </w:t>
      </w:r>
      <w:r>
        <w:rPr/>
        <w:t>48.411.000,00</w:t>
      </w:r>
      <w:r>
        <w:rPr>
          <w:spacing w:val="-5"/>
        </w:rPr>
        <w:t> </w:t>
      </w:r>
      <w:r>
        <w:rPr/>
        <w:t>euros</w:t>
      </w:r>
      <w:r>
        <w:rPr>
          <w:spacing w:val="-5"/>
        </w:rPr>
        <w:t> </w:t>
      </w:r>
      <w:r>
        <w:rPr/>
        <w:t>cuyas</w:t>
      </w:r>
      <w:r>
        <w:rPr>
          <w:spacing w:val="-5"/>
        </w:rPr>
        <w:t> </w:t>
      </w:r>
      <w:r>
        <w:rPr/>
        <w:t>aportaciones</w:t>
      </w:r>
      <w:r>
        <w:rPr>
          <w:spacing w:val="-5"/>
        </w:rPr>
        <w:t> </w:t>
      </w:r>
      <w:r>
        <w:rPr/>
        <w:t>se</w:t>
      </w:r>
      <w:r>
        <w:rPr>
          <w:spacing w:val="-5"/>
        </w:rPr>
        <w:t> </w:t>
      </w:r>
      <w:r>
        <w:rPr/>
        <w:t>acordaron</w:t>
      </w:r>
      <w:r>
        <w:rPr>
          <w:spacing w:val="-4"/>
        </w:rPr>
        <w:t> </w:t>
      </w:r>
      <w:r>
        <w:rPr/>
        <w:t>en</w:t>
      </w:r>
      <w:r>
        <w:rPr>
          <w:spacing w:val="-6"/>
        </w:rPr>
        <w:t> </w:t>
      </w:r>
      <w:r>
        <w:rPr/>
        <w:t>dos</w:t>
      </w:r>
      <w:r>
        <w:rPr>
          <w:spacing w:val="-5"/>
        </w:rPr>
        <w:t> </w:t>
      </w:r>
      <w:r>
        <w:rPr/>
        <w:t>fases,</w:t>
      </w:r>
      <w:r>
        <w:rPr>
          <w:spacing w:val="-4"/>
        </w:rPr>
        <w:t> </w:t>
      </w:r>
      <w:r>
        <w:rPr/>
        <w:t>la</w:t>
      </w:r>
      <w:r>
        <w:rPr>
          <w:spacing w:val="-5"/>
        </w:rPr>
        <w:t> </w:t>
      </w:r>
      <w:r>
        <w:rPr/>
        <w:t>primera</w:t>
      </w:r>
      <w:r>
        <w:rPr>
          <w:spacing w:val="-5"/>
        </w:rPr>
        <w:t> </w:t>
      </w:r>
      <w:r>
        <w:rPr/>
        <w:t>por</w:t>
      </w:r>
      <w:r>
        <w:rPr>
          <w:spacing w:val="-4"/>
        </w:rPr>
        <w:t> </w:t>
      </w:r>
      <w:r>
        <w:rPr/>
        <w:t>un</w:t>
      </w:r>
      <w:r>
        <w:rPr>
          <w:spacing w:val="-4"/>
        </w:rPr>
        <w:t> </w:t>
      </w:r>
      <w:r>
        <w:rPr/>
        <w:t>importe 45.599.944,00 euros y la segunda, por importe de 2.811.056,00 euros. Las aportaciones fueron satisfechas por los accionistas durante el ejercicio 2023, cuyo vencimiento es a 31 de diciembre de 2036. El préstamo devenga intereses a tipo fijo del 5% del beneficio después de impuestos si la Sociedad incurre en resultados positivos después de impuestos.</w:t>
      </w:r>
    </w:p>
    <w:p>
      <w:pPr>
        <w:pStyle w:val="BodyText"/>
        <w:spacing w:before="6"/>
      </w:pPr>
    </w:p>
    <w:p>
      <w:pPr>
        <w:pStyle w:val="BodyText"/>
        <w:spacing w:line="247" w:lineRule="auto"/>
        <w:ind w:left="995" w:right="908"/>
        <w:jc w:val="both"/>
      </w:pPr>
      <w:r>
        <w:rPr/>
        <w:t>Con</w:t>
      </w:r>
      <w:r>
        <w:rPr>
          <w:spacing w:val="-7"/>
        </w:rPr>
        <w:t> </w:t>
      </w:r>
      <w:r>
        <w:rPr/>
        <w:t>fecha</w:t>
      </w:r>
      <w:r>
        <w:rPr>
          <w:spacing w:val="-8"/>
        </w:rPr>
        <w:t> </w:t>
      </w:r>
      <w:r>
        <w:rPr/>
        <w:t>21</w:t>
      </w:r>
      <w:r>
        <w:rPr>
          <w:spacing w:val="-9"/>
        </w:rPr>
        <w:t> </w:t>
      </w:r>
      <w:r>
        <w:rPr/>
        <w:t>de</w:t>
      </w:r>
      <w:r>
        <w:rPr>
          <w:spacing w:val="-8"/>
        </w:rPr>
        <w:t> </w:t>
      </w:r>
      <w:r>
        <w:rPr/>
        <w:t>febrero</w:t>
      </w:r>
      <w:r>
        <w:rPr>
          <w:spacing w:val="-10"/>
        </w:rPr>
        <w:t> </w:t>
      </w:r>
      <w:r>
        <w:rPr/>
        <w:t>de</w:t>
      </w:r>
      <w:r>
        <w:rPr>
          <w:spacing w:val="-8"/>
        </w:rPr>
        <w:t> </w:t>
      </w:r>
      <w:r>
        <w:rPr/>
        <w:t>2024</w:t>
      </w:r>
      <w:r>
        <w:rPr>
          <w:spacing w:val="-7"/>
        </w:rPr>
        <w:t> </w:t>
      </w:r>
      <w:r>
        <w:rPr/>
        <w:t>se</w:t>
      </w:r>
      <w:r>
        <w:rPr>
          <w:spacing w:val="-7"/>
        </w:rPr>
        <w:t> </w:t>
      </w:r>
      <w:r>
        <w:rPr/>
        <w:t>formalizó</w:t>
      </w:r>
      <w:r>
        <w:rPr>
          <w:spacing w:val="-6"/>
        </w:rPr>
        <w:t> </w:t>
      </w:r>
      <w:r>
        <w:rPr/>
        <w:t>otro</w:t>
      </w:r>
      <w:r>
        <w:rPr>
          <w:spacing w:val="-6"/>
        </w:rPr>
        <w:t> </w:t>
      </w:r>
      <w:r>
        <w:rPr/>
        <w:t>préstamo</w:t>
      </w:r>
      <w:r>
        <w:rPr>
          <w:spacing w:val="-7"/>
        </w:rPr>
        <w:t> </w:t>
      </w:r>
      <w:r>
        <w:rPr/>
        <w:t>participativo</w:t>
      </w:r>
      <w:r>
        <w:rPr>
          <w:spacing w:val="-6"/>
        </w:rPr>
        <w:t> </w:t>
      </w:r>
      <w:r>
        <w:rPr/>
        <w:t>entre</w:t>
      </w:r>
      <w:r>
        <w:rPr>
          <w:spacing w:val="-7"/>
        </w:rPr>
        <w:t> </w:t>
      </w:r>
      <w:r>
        <w:rPr/>
        <w:t>la</w:t>
      </w:r>
      <w:r>
        <w:rPr>
          <w:spacing w:val="-7"/>
        </w:rPr>
        <w:t> </w:t>
      </w:r>
      <w:r>
        <w:rPr/>
        <w:t>Sociedad</w:t>
      </w:r>
      <w:r>
        <w:rPr>
          <w:spacing w:val="-6"/>
        </w:rPr>
        <w:t> </w:t>
      </w:r>
      <w:r>
        <w:rPr/>
        <w:t>y</w:t>
      </w:r>
      <w:r>
        <w:rPr>
          <w:spacing w:val="-5"/>
        </w:rPr>
        <w:t> </w:t>
      </w:r>
      <w:r>
        <w:rPr/>
        <w:t>ADIF</w:t>
      </w:r>
      <w:r>
        <w:rPr>
          <w:spacing w:val="-4"/>
        </w:rPr>
        <w:t> </w:t>
      </w:r>
      <w:r>
        <w:rPr/>
        <w:t>– Alta Velocidad, Comunidad Autónoma de la Región de Murcia y Ayuntamiento de Murcia por un importe</w:t>
      </w:r>
      <w:r>
        <w:rPr>
          <w:spacing w:val="-7"/>
        </w:rPr>
        <w:t> </w:t>
      </w:r>
      <w:r>
        <w:rPr/>
        <w:t>total</w:t>
      </w:r>
      <w:r>
        <w:rPr>
          <w:spacing w:val="-9"/>
        </w:rPr>
        <w:t> </w:t>
      </w:r>
      <w:r>
        <w:rPr/>
        <w:t>de</w:t>
      </w:r>
      <w:r>
        <w:rPr>
          <w:spacing w:val="-9"/>
        </w:rPr>
        <w:t> </w:t>
      </w:r>
      <w:r>
        <w:rPr/>
        <w:t>160.000.000</w:t>
      </w:r>
      <w:r>
        <w:rPr>
          <w:spacing w:val="-7"/>
        </w:rPr>
        <w:t> </w:t>
      </w:r>
      <w:r>
        <w:rPr/>
        <w:t>euros, cuyas aportaciones se acordaron en dos fases, la primera por un importe 100.000.000,00 euros y la segunda, por importe de 60.000.000,00 euros. Las aportaciones fueron</w:t>
      </w:r>
      <w:r>
        <w:rPr>
          <w:spacing w:val="-14"/>
        </w:rPr>
        <w:t> </w:t>
      </w:r>
      <w:r>
        <w:rPr/>
        <w:t>satisfechas</w:t>
      </w:r>
      <w:r>
        <w:rPr>
          <w:spacing w:val="-14"/>
        </w:rPr>
        <w:t> </w:t>
      </w:r>
      <w:r>
        <w:rPr/>
        <w:t>por</w:t>
      </w:r>
      <w:r>
        <w:rPr>
          <w:spacing w:val="-14"/>
        </w:rPr>
        <w:t> </w:t>
      </w:r>
      <w:r>
        <w:rPr/>
        <w:t>los</w:t>
      </w:r>
      <w:r>
        <w:rPr>
          <w:spacing w:val="-13"/>
        </w:rPr>
        <w:t> </w:t>
      </w:r>
      <w:r>
        <w:rPr/>
        <w:t>accionistas</w:t>
      </w:r>
      <w:r>
        <w:rPr>
          <w:spacing w:val="-14"/>
        </w:rPr>
        <w:t> </w:t>
      </w:r>
      <w:r>
        <w:rPr/>
        <w:t>durante</w:t>
      </w:r>
      <w:r>
        <w:rPr>
          <w:spacing w:val="-14"/>
        </w:rPr>
        <w:t> </w:t>
      </w:r>
      <w:r>
        <w:rPr/>
        <w:t>el</w:t>
      </w:r>
      <w:r>
        <w:rPr>
          <w:spacing w:val="-14"/>
        </w:rPr>
        <w:t> </w:t>
      </w:r>
      <w:r>
        <w:rPr/>
        <w:t>ejercicio</w:t>
      </w:r>
      <w:r>
        <w:rPr>
          <w:spacing w:val="-13"/>
        </w:rPr>
        <w:t> </w:t>
      </w:r>
      <w:r>
        <w:rPr/>
        <w:t>2024,</w:t>
      </w:r>
      <w:r>
        <w:rPr>
          <w:spacing w:val="-14"/>
        </w:rPr>
        <w:t> </w:t>
      </w:r>
      <w:r>
        <w:rPr/>
        <w:t>cuyo</w:t>
      </w:r>
      <w:r>
        <w:rPr>
          <w:spacing w:val="-14"/>
        </w:rPr>
        <w:t> </w:t>
      </w:r>
      <w:r>
        <w:rPr/>
        <w:t>vencimiento</w:t>
      </w:r>
      <w:r>
        <w:rPr>
          <w:spacing w:val="-14"/>
        </w:rPr>
        <w:t> </w:t>
      </w:r>
      <w:r>
        <w:rPr/>
        <w:t>es</w:t>
      </w:r>
      <w:r>
        <w:rPr>
          <w:spacing w:val="-13"/>
        </w:rPr>
        <w:t> </w:t>
      </w:r>
      <w:r>
        <w:rPr/>
        <w:t>a</w:t>
      </w:r>
      <w:r>
        <w:rPr>
          <w:spacing w:val="-14"/>
        </w:rPr>
        <w:t> </w:t>
      </w:r>
      <w:r>
        <w:rPr/>
        <w:t>31</w:t>
      </w:r>
      <w:r>
        <w:rPr>
          <w:spacing w:val="-14"/>
        </w:rPr>
        <w:t> </w:t>
      </w:r>
      <w:r>
        <w:rPr/>
        <w:t>de</w:t>
      </w:r>
      <w:r>
        <w:rPr>
          <w:spacing w:val="-14"/>
        </w:rPr>
        <w:t> </w:t>
      </w:r>
      <w:r>
        <w:rPr/>
        <w:t>diciembre de 2036. El préstamo devenga intereses a tipo fijo del 5% del beneficio después de impuestos si la Sociedad incurre en resultados positivos después de impuestos.</w:t>
      </w:r>
    </w:p>
    <w:p>
      <w:pPr>
        <w:pStyle w:val="BodyText"/>
        <w:spacing w:line="247" w:lineRule="auto" w:before="236"/>
        <w:ind w:left="995" w:right="910"/>
        <w:jc w:val="both"/>
      </w:pPr>
      <w:r>
        <w:rPr/>
        <w:t>Con fecha 27 de noviembre de 2025 se formalizó otro préstamo participativo entre la Sociedad y ADIF – Alta Velocidad, Comunidad Autónoma de la Región de Murcia y Ayuntamiento de Murcia </w:t>
      </w:r>
      <w:r>
        <w:rPr>
          <w:spacing w:val="-2"/>
        </w:rPr>
        <w:t>por</w:t>
      </w:r>
      <w:r>
        <w:rPr>
          <w:spacing w:val="-12"/>
        </w:rPr>
        <w:t> </w:t>
      </w:r>
      <w:r>
        <w:rPr>
          <w:spacing w:val="-2"/>
        </w:rPr>
        <w:t>un</w:t>
      </w:r>
      <w:r>
        <w:rPr>
          <w:spacing w:val="-4"/>
        </w:rPr>
        <w:t> </w:t>
      </w:r>
      <w:r>
        <w:rPr>
          <w:spacing w:val="-2"/>
        </w:rPr>
        <w:t>importe</w:t>
      </w:r>
      <w:r>
        <w:rPr>
          <w:spacing w:val="-12"/>
        </w:rPr>
        <w:t> </w:t>
      </w:r>
      <w:r>
        <w:rPr>
          <w:spacing w:val="-2"/>
        </w:rPr>
        <w:t>total</w:t>
      </w:r>
      <w:r>
        <w:rPr>
          <w:spacing w:val="-12"/>
        </w:rPr>
        <w:t> </w:t>
      </w:r>
      <w:r>
        <w:rPr>
          <w:spacing w:val="-2"/>
        </w:rPr>
        <w:t>de</w:t>
      </w:r>
      <w:r>
        <w:rPr>
          <w:spacing w:val="-12"/>
        </w:rPr>
        <w:t> </w:t>
      </w:r>
      <w:r>
        <w:rPr>
          <w:spacing w:val="-2"/>
        </w:rPr>
        <w:t>100.000.000,00</w:t>
      </w:r>
      <w:r>
        <w:rPr>
          <w:spacing w:val="-11"/>
        </w:rPr>
        <w:t> </w:t>
      </w:r>
      <w:r>
        <w:rPr>
          <w:spacing w:val="-2"/>
        </w:rPr>
        <w:t>euros, cuyos</w:t>
      </w:r>
      <w:r>
        <w:rPr>
          <w:spacing w:val="-4"/>
        </w:rPr>
        <w:t> </w:t>
      </w:r>
      <w:r>
        <w:rPr>
          <w:spacing w:val="-2"/>
        </w:rPr>
        <w:t>desembolsos se</w:t>
      </w:r>
      <w:r>
        <w:rPr>
          <w:spacing w:val="-3"/>
        </w:rPr>
        <w:t> </w:t>
      </w:r>
      <w:r>
        <w:rPr>
          <w:spacing w:val="-2"/>
        </w:rPr>
        <w:t>acordaron en dos fases, la primera </w:t>
      </w:r>
      <w:r>
        <w:rPr/>
        <w:t>por un importe 30.000.000,00 euros y la segunda, por importe de 70.000.000,00 euros. Las aportaciones fueron satisfechas por los accionistas durante el ejercicio 2025, cuyo vencimiento es a 31 de diciembre de 2036. El préstamo devenga intereses a tipo fijo del 5% del beneficio después de impuestos si la Sociedad incurre en resultados positivos después de impuestos.</w:t>
      </w:r>
    </w:p>
    <w:p>
      <w:pPr>
        <w:pStyle w:val="BodyText"/>
        <w:spacing w:line="247" w:lineRule="auto" w:before="235"/>
        <w:ind w:left="995" w:right="836"/>
        <w:jc w:val="both"/>
      </w:pPr>
      <w:r>
        <w:rPr/>
        <w:t>A</w:t>
      </w:r>
      <w:r>
        <w:rPr>
          <w:spacing w:val="-10"/>
        </w:rPr>
        <w:t> </w:t>
      </w:r>
      <w:r>
        <w:rPr/>
        <w:t>fecha</w:t>
      </w:r>
      <w:r>
        <w:rPr>
          <w:spacing w:val="-9"/>
        </w:rPr>
        <w:t> </w:t>
      </w:r>
      <w:r>
        <w:rPr/>
        <w:t>de</w:t>
      </w:r>
      <w:r>
        <w:rPr>
          <w:spacing w:val="-9"/>
        </w:rPr>
        <w:t> </w:t>
      </w:r>
      <w:r>
        <w:rPr/>
        <w:t>cierre</w:t>
      </w:r>
      <w:r>
        <w:rPr>
          <w:spacing w:val="-10"/>
        </w:rPr>
        <w:t> </w:t>
      </w:r>
      <w:r>
        <w:rPr/>
        <w:t>del</w:t>
      </w:r>
      <w:r>
        <w:rPr>
          <w:spacing w:val="-9"/>
        </w:rPr>
        <w:t> </w:t>
      </w:r>
      <w:r>
        <w:rPr/>
        <w:t>ejercicio</w:t>
      </w:r>
      <w:r>
        <w:rPr>
          <w:spacing w:val="-9"/>
        </w:rPr>
        <w:t> </w:t>
      </w:r>
      <w:r>
        <w:rPr/>
        <w:t>2025,</w:t>
      </w:r>
      <w:r>
        <w:rPr>
          <w:spacing w:val="-10"/>
        </w:rPr>
        <w:t> </w:t>
      </w:r>
      <w:r>
        <w:rPr/>
        <w:t>la</w:t>
      </w:r>
      <w:r>
        <w:rPr>
          <w:spacing w:val="-8"/>
        </w:rPr>
        <w:t> </w:t>
      </w:r>
      <w:r>
        <w:rPr/>
        <w:t>Sociedad</w:t>
      </w:r>
      <w:r>
        <w:rPr>
          <w:spacing w:val="-9"/>
        </w:rPr>
        <w:t> </w:t>
      </w:r>
      <w:r>
        <w:rPr/>
        <w:t>ha</w:t>
      </w:r>
      <w:r>
        <w:rPr>
          <w:spacing w:val="-9"/>
        </w:rPr>
        <w:t> </w:t>
      </w:r>
      <w:r>
        <w:rPr/>
        <w:t>formalizado</w:t>
      </w:r>
      <w:r>
        <w:rPr>
          <w:spacing w:val="-8"/>
        </w:rPr>
        <w:t> </w:t>
      </w:r>
      <w:r>
        <w:rPr/>
        <w:t>varios</w:t>
      </w:r>
      <w:r>
        <w:rPr>
          <w:spacing w:val="-9"/>
        </w:rPr>
        <w:t> </w:t>
      </w:r>
      <w:r>
        <w:rPr/>
        <w:t>contratos</w:t>
      </w:r>
      <w:r>
        <w:rPr>
          <w:spacing w:val="-11"/>
        </w:rPr>
        <w:t> </w:t>
      </w:r>
      <w:r>
        <w:rPr/>
        <w:t>participativos</w:t>
      </w:r>
      <w:r>
        <w:rPr>
          <w:spacing w:val="-9"/>
        </w:rPr>
        <w:t> </w:t>
      </w:r>
      <w:r>
        <w:rPr/>
        <w:t>con</w:t>
      </w:r>
      <w:r>
        <w:rPr>
          <w:spacing w:val="-10"/>
        </w:rPr>
        <w:t> </w:t>
      </w:r>
      <w:r>
        <w:rPr/>
        <w:t>los accionistas por importe total de 458.239.604,00 euros y que han devengado intereses en el ejercicio por importe de 1.060.489,00 euros (406.972,00 euros en el ejercicio 2024).</w:t>
      </w:r>
    </w:p>
    <w:p>
      <w:pPr>
        <w:pStyle w:val="BodyText"/>
        <w:spacing w:line="247" w:lineRule="auto" w:before="236"/>
        <w:ind w:left="995" w:right="908"/>
        <w:jc w:val="both"/>
      </w:pPr>
      <w:r>
        <w:rPr/>
        <w:t>La alta dirección está compuesta por los miembros del órgano de Administración, y la</w:t>
      </w:r>
      <w:r>
        <w:rPr>
          <w:spacing w:val="-10"/>
        </w:rPr>
        <w:t> </w:t>
      </w:r>
      <w:r>
        <w:rPr/>
        <w:t>Directora-Gerente de la Sociedad que fue nombrada en el Consejo de Administración de la Sociedad de fecha 28 de mayo de 2018, con efecto el 1 de junio de 2018.</w:t>
      </w:r>
    </w:p>
    <w:p>
      <w:pPr>
        <w:pStyle w:val="BodyText"/>
        <w:spacing w:after="0" w:line="247" w:lineRule="auto"/>
        <w:jc w:val="both"/>
        <w:sectPr>
          <w:pgSz w:w="11910" w:h="16840"/>
          <w:pgMar w:header="694" w:footer="690" w:top="1920" w:bottom="880" w:left="708" w:right="425"/>
        </w:sectPr>
      </w:pPr>
    </w:p>
    <w:p>
      <w:pPr>
        <w:pStyle w:val="BodyText"/>
        <w:spacing w:line="247" w:lineRule="auto" w:before="187"/>
        <w:ind w:left="995" w:right="841"/>
        <w:jc w:val="both"/>
      </w:pPr>
      <w:r>
        <w:rPr/>
        <w:t>La remuneración devengada a los miembros del órgano</w:t>
      </w:r>
      <w:r>
        <w:rPr>
          <w:spacing w:val="40"/>
        </w:rPr>
        <w:t> </w:t>
      </w:r>
      <w:r>
        <w:rPr/>
        <w:t>de</w:t>
      </w:r>
      <w:r>
        <w:rPr>
          <w:spacing w:val="40"/>
        </w:rPr>
        <w:t> </w:t>
      </w:r>
      <w:r>
        <w:rPr/>
        <w:t>Administración,</w:t>
      </w:r>
      <w:r>
        <w:rPr>
          <w:spacing w:val="40"/>
        </w:rPr>
        <w:t> </w:t>
      </w:r>
      <w:r>
        <w:rPr/>
        <w:t>y</w:t>
      </w:r>
      <w:r>
        <w:rPr>
          <w:spacing w:val="40"/>
        </w:rPr>
        <w:t> </w:t>
      </w:r>
      <w:r>
        <w:rPr/>
        <w:t>la Directora-Gerente de la Sociedad en concepto de sueldos y salarios para los ejercicios 2025 y 2024 es la siguiente:</w:t>
      </w:r>
    </w:p>
    <w:p>
      <w:pPr>
        <w:pStyle w:val="BodyText"/>
        <w:spacing w:before="7"/>
        <w:rPr>
          <w:sz w:val="18"/>
        </w:rPr>
      </w:pPr>
    </w:p>
    <w:tbl>
      <w:tblPr>
        <w:tblW w:w="0" w:type="auto"/>
        <w:jc w:val="left"/>
        <w:tblInd w:w="2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4"/>
        <w:gridCol w:w="1083"/>
        <w:gridCol w:w="139"/>
        <w:gridCol w:w="1117"/>
      </w:tblGrid>
      <w:tr>
        <w:trPr>
          <w:trHeight w:val="242" w:hRule="atLeast"/>
        </w:trPr>
        <w:tc>
          <w:tcPr>
            <w:tcW w:w="2834" w:type="dxa"/>
          </w:tcPr>
          <w:p>
            <w:pPr>
              <w:pStyle w:val="TableParagraph"/>
              <w:spacing w:line="177" w:lineRule="exact"/>
              <w:ind w:right="250"/>
              <w:jc w:val="center"/>
              <w:rPr>
                <w:sz w:val="16"/>
              </w:rPr>
            </w:pPr>
            <w:r>
              <w:rPr>
                <w:sz w:val="16"/>
              </w:rPr>
              <w:t>Sueldos,</w:t>
            </w:r>
            <w:r>
              <w:rPr>
                <w:spacing w:val="-7"/>
                <w:sz w:val="16"/>
              </w:rPr>
              <w:t> </w:t>
            </w:r>
            <w:r>
              <w:rPr>
                <w:sz w:val="16"/>
              </w:rPr>
              <w:t>dietas</w:t>
            </w:r>
            <w:r>
              <w:rPr>
                <w:spacing w:val="-5"/>
                <w:sz w:val="16"/>
              </w:rPr>
              <w:t> </w:t>
            </w:r>
            <w:r>
              <w:rPr>
                <w:sz w:val="16"/>
              </w:rPr>
              <w:t>y</w:t>
            </w:r>
            <w:r>
              <w:rPr>
                <w:spacing w:val="-6"/>
                <w:sz w:val="16"/>
              </w:rPr>
              <w:t> </w:t>
            </w:r>
            <w:r>
              <w:rPr>
                <w:sz w:val="16"/>
              </w:rPr>
              <w:t>otras</w:t>
            </w:r>
            <w:r>
              <w:rPr>
                <w:spacing w:val="-7"/>
                <w:sz w:val="16"/>
              </w:rPr>
              <w:t> </w:t>
            </w:r>
            <w:r>
              <w:rPr>
                <w:spacing w:val="-2"/>
                <w:sz w:val="16"/>
              </w:rPr>
              <w:t>remuneraciones</w:t>
            </w:r>
          </w:p>
        </w:tc>
        <w:tc>
          <w:tcPr>
            <w:tcW w:w="1083" w:type="dxa"/>
            <w:tcBorders>
              <w:bottom w:val="single" w:sz="8" w:space="0" w:color="000000"/>
            </w:tcBorders>
          </w:tcPr>
          <w:p>
            <w:pPr>
              <w:pStyle w:val="TableParagraph"/>
              <w:spacing w:line="177" w:lineRule="exact"/>
              <w:ind w:left="385"/>
              <w:rPr>
                <w:b/>
                <w:sz w:val="16"/>
              </w:rPr>
            </w:pPr>
            <w:r>
              <w:rPr>
                <w:b/>
                <w:spacing w:val="-4"/>
                <w:sz w:val="16"/>
              </w:rPr>
              <w:t>2025</w:t>
            </w:r>
          </w:p>
        </w:tc>
        <w:tc>
          <w:tcPr>
            <w:tcW w:w="139" w:type="dxa"/>
          </w:tcPr>
          <w:p>
            <w:pPr>
              <w:pStyle w:val="TableParagraph"/>
              <w:rPr>
                <w:sz w:val="16"/>
              </w:rPr>
            </w:pPr>
          </w:p>
        </w:tc>
        <w:tc>
          <w:tcPr>
            <w:tcW w:w="1117" w:type="dxa"/>
            <w:tcBorders>
              <w:bottom w:val="single" w:sz="8" w:space="0" w:color="000000"/>
            </w:tcBorders>
          </w:tcPr>
          <w:p>
            <w:pPr>
              <w:pStyle w:val="TableParagraph"/>
              <w:spacing w:line="177" w:lineRule="exact"/>
              <w:ind w:left="402"/>
              <w:rPr>
                <w:b/>
                <w:sz w:val="16"/>
              </w:rPr>
            </w:pPr>
            <w:r>
              <w:rPr>
                <w:b/>
                <w:spacing w:val="-4"/>
                <w:sz w:val="16"/>
              </w:rPr>
              <w:t>2024</w:t>
            </w:r>
          </w:p>
        </w:tc>
      </w:tr>
      <w:tr>
        <w:trPr>
          <w:trHeight w:val="316" w:hRule="atLeast"/>
        </w:trPr>
        <w:tc>
          <w:tcPr>
            <w:tcW w:w="2834" w:type="dxa"/>
          </w:tcPr>
          <w:p>
            <w:pPr>
              <w:pStyle w:val="TableParagraph"/>
              <w:spacing w:before="66"/>
              <w:ind w:left="1" w:right="250"/>
              <w:jc w:val="center"/>
              <w:rPr>
                <w:sz w:val="16"/>
              </w:rPr>
            </w:pPr>
            <w:r>
              <w:rPr>
                <w:spacing w:val="-2"/>
                <w:sz w:val="16"/>
              </w:rPr>
              <w:t>Gerente</w:t>
            </w:r>
          </w:p>
        </w:tc>
        <w:tc>
          <w:tcPr>
            <w:tcW w:w="1083" w:type="dxa"/>
            <w:tcBorders>
              <w:top w:val="single" w:sz="8" w:space="0" w:color="000000"/>
              <w:bottom w:val="double" w:sz="6" w:space="0" w:color="000000"/>
            </w:tcBorders>
          </w:tcPr>
          <w:p>
            <w:pPr>
              <w:pStyle w:val="TableParagraph"/>
              <w:spacing w:before="66"/>
              <w:ind w:left="374"/>
              <w:rPr>
                <w:sz w:val="16"/>
              </w:rPr>
            </w:pPr>
            <w:r>
              <w:rPr>
                <w:spacing w:val="-2"/>
                <w:sz w:val="16"/>
              </w:rPr>
              <w:t>76.703,30</w:t>
            </w:r>
          </w:p>
        </w:tc>
        <w:tc>
          <w:tcPr>
            <w:tcW w:w="139" w:type="dxa"/>
          </w:tcPr>
          <w:p>
            <w:pPr>
              <w:pStyle w:val="TableParagraph"/>
              <w:rPr>
                <w:sz w:val="20"/>
              </w:rPr>
            </w:pPr>
          </w:p>
        </w:tc>
        <w:tc>
          <w:tcPr>
            <w:tcW w:w="1117" w:type="dxa"/>
            <w:tcBorders>
              <w:top w:val="single" w:sz="8" w:space="0" w:color="000000"/>
              <w:bottom w:val="double" w:sz="6" w:space="0" w:color="000000"/>
            </w:tcBorders>
          </w:tcPr>
          <w:p>
            <w:pPr>
              <w:pStyle w:val="TableParagraph"/>
              <w:spacing w:before="66"/>
              <w:ind w:left="408"/>
              <w:rPr>
                <w:sz w:val="16"/>
              </w:rPr>
            </w:pPr>
            <w:r>
              <w:rPr>
                <w:spacing w:val="-2"/>
                <w:sz w:val="16"/>
              </w:rPr>
              <w:t>74.476,29</w:t>
            </w:r>
          </w:p>
        </w:tc>
      </w:tr>
    </w:tbl>
    <w:p>
      <w:pPr>
        <w:pStyle w:val="BodyText"/>
        <w:spacing w:line="244" w:lineRule="auto" w:before="236"/>
        <w:ind w:left="995" w:right="839"/>
        <w:jc w:val="both"/>
      </w:pPr>
      <w:r>
        <w:rPr/>
        <w:t>No existen anticipos o créditos concedidos a los Administradores de la Sociedad al cierre de los ejercicios 2025 y 2024. Asimismo, la Sociedad no tiene contraídas obligaciones en materia de pensiones y seguros de vida con respecto a antiguos o actuales Administradores de la Sociedad.</w:t>
      </w:r>
    </w:p>
    <w:p>
      <w:pPr>
        <w:pStyle w:val="BodyText"/>
        <w:spacing w:line="244" w:lineRule="auto" w:before="233"/>
        <w:ind w:left="995" w:right="846"/>
        <w:jc w:val="both"/>
      </w:pPr>
      <w:r>
        <w:rPr/>
        <w:t>No existen obligaciones contraídas en materia de pensiones o de pago de primas de seguros de vida respecto de los miembros antiguos y actuales del órgano de Administración de la Sociedad.</w:t>
      </w:r>
    </w:p>
    <w:p>
      <w:pPr>
        <w:pStyle w:val="BodyText"/>
        <w:spacing w:line="244" w:lineRule="auto" w:before="234"/>
        <w:ind w:left="995" w:right="840"/>
        <w:jc w:val="both"/>
      </w:pPr>
      <w:r>
        <w:rPr/>
        <w:t>De conformidad con lo establecido en el artículo 229 de la Ley de Sociedades de Capital, aprobada mediante Real Decreto Legislativo 1/2010, de 2 de julio, con las modificaciones introducidas por la Ley</w:t>
      </w:r>
      <w:r>
        <w:rPr>
          <w:spacing w:val="-8"/>
        </w:rPr>
        <w:t> </w:t>
      </w:r>
      <w:r>
        <w:rPr/>
        <w:t>31/2014,</w:t>
      </w:r>
      <w:r>
        <w:rPr>
          <w:spacing w:val="-9"/>
        </w:rPr>
        <w:t> </w:t>
      </w:r>
      <w:r>
        <w:rPr/>
        <w:t>de</w:t>
      </w:r>
      <w:r>
        <w:rPr>
          <w:spacing w:val="-8"/>
        </w:rPr>
        <w:t> </w:t>
      </w:r>
      <w:r>
        <w:rPr/>
        <w:t>3</w:t>
      </w:r>
      <w:r>
        <w:rPr>
          <w:spacing w:val="-8"/>
        </w:rPr>
        <w:t> </w:t>
      </w:r>
      <w:r>
        <w:rPr/>
        <w:t>de</w:t>
      </w:r>
      <w:r>
        <w:rPr>
          <w:spacing w:val="-8"/>
        </w:rPr>
        <w:t> </w:t>
      </w:r>
      <w:r>
        <w:rPr/>
        <w:t>diciembre,</w:t>
      </w:r>
      <w:r>
        <w:rPr>
          <w:spacing w:val="-8"/>
        </w:rPr>
        <w:t> </w:t>
      </w:r>
      <w:r>
        <w:rPr/>
        <w:t>por</w:t>
      </w:r>
      <w:r>
        <w:rPr>
          <w:spacing w:val="-8"/>
        </w:rPr>
        <w:t> </w:t>
      </w:r>
      <w:r>
        <w:rPr/>
        <w:t>la</w:t>
      </w:r>
      <w:r>
        <w:rPr>
          <w:spacing w:val="-8"/>
        </w:rPr>
        <w:t> </w:t>
      </w:r>
      <w:r>
        <w:rPr/>
        <w:t>que</w:t>
      </w:r>
      <w:r>
        <w:rPr>
          <w:spacing w:val="-8"/>
        </w:rPr>
        <w:t> </w:t>
      </w:r>
      <w:r>
        <w:rPr/>
        <w:t>se</w:t>
      </w:r>
      <w:r>
        <w:rPr>
          <w:spacing w:val="-8"/>
        </w:rPr>
        <w:t> </w:t>
      </w:r>
      <w:r>
        <w:rPr/>
        <w:t>modifica</w:t>
      </w:r>
      <w:r>
        <w:rPr>
          <w:spacing w:val="-8"/>
        </w:rPr>
        <w:t> </w:t>
      </w:r>
      <w:r>
        <w:rPr/>
        <w:t>la</w:t>
      </w:r>
      <w:r>
        <w:rPr>
          <w:spacing w:val="-5"/>
        </w:rPr>
        <w:t> </w:t>
      </w:r>
      <w:r>
        <w:rPr/>
        <w:t>Ley</w:t>
      </w:r>
      <w:r>
        <w:rPr>
          <w:spacing w:val="-8"/>
        </w:rPr>
        <w:t> </w:t>
      </w:r>
      <w:r>
        <w:rPr/>
        <w:t>de</w:t>
      </w:r>
      <w:r>
        <w:rPr>
          <w:spacing w:val="-8"/>
        </w:rPr>
        <w:t> </w:t>
      </w:r>
      <w:r>
        <w:rPr/>
        <w:t>Sociedades</w:t>
      </w:r>
      <w:r>
        <w:rPr>
          <w:spacing w:val="-9"/>
        </w:rPr>
        <w:t> </w:t>
      </w:r>
      <w:r>
        <w:rPr/>
        <w:t>de</w:t>
      </w:r>
      <w:r>
        <w:rPr>
          <w:spacing w:val="-7"/>
        </w:rPr>
        <w:t> </w:t>
      </w:r>
      <w:r>
        <w:rPr/>
        <w:t>Capital</w:t>
      </w:r>
      <w:r>
        <w:rPr>
          <w:spacing w:val="-8"/>
        </w:rPr>
        <w:t> </w:t>
      </w:r>
      <w:r>
        <w:rPr/>
        <w:t>para</w:t>
      </w:r>
      <w:r>
        <w:rPr>
          <w:spacing w:val="-8"/>
        </w:rPr>
        <w:t> </w:t>
      </w:r>
      <w:r>
        <w:rPr/>
        <w:t>la</w:t>
      </w:r>
      <w:r>
        <w:rPr>
          <w:spacing w:val="-8"/>
        </w:rPr>
        <w:t> </w:t>
      </w:r>
      <w:r>
        <w:rPr/>
        <w:t>mejora del</w:t>
      </w:r>
      <w:r>
        <w:rPr>
          <w:spacing w:val="-4"/>
        </w:rPr>
        <w:t> </w:t>
      </w:r>
      <w:r>
        <w:rPr/>
        <w:t>gobierno</w:t>
      </w:r>
      <w:r>
        <w:rPr>
          <w:spacing w:val="-5"/>
        </w:rPr>
        <w:t> </w:t>
      </w:r>
      <w:r>
        <w:rPr/>
        <w:t>corporativo,</w:t>
      </w:r>
      <w:r>
        <w:rPr>
          <w:spacing w:val="-7"/>
        </w:rPr>
        <w:t> </w:t>
      </w:r>
      <w:r>
        <w:rPr/>
        <w:t>que</w:t>
      </w:r>
      <w:r>
        <w:rPr>
          <w:spacing w:val="-5"/>
        </w:rPr>
        <w:t> </w:t>
      </w:r>
      <w:r>
        <w:rPr/>
        <w:t>los</w:t>
      </w:r>
      <w:r>
        <w:rPr>
          <w:spacing w:val="-5"/>
        </w:rPr>
        <w:t> </w:t>
      </w:r>
      <w:r>
        <w:rPr/>
        <w:t>miembros</w:t>
      </w:r>
      <w:r>
        <w:rPr>
          <w:spacing w:val="-4"/>
        </w:rPr>
        <w:t> </w:t>
      </w:r>
      <w:r>
        <w:rPr/>
        <w:t>del</w:t>
      </w:r>
      <w:r>
        <w:rPr>
          <w:spacing w:val="-4"/>
        </w:rPr>
        <w:t> </w:t>
      </w:r>
      <w:r>
        <w:rPr/>
        <w:t>Consejo</w:t>
      </w:r>
      <w:r>
        <w:rPr>
          <w:spacing w:val="-4"/>
        </w:rPr>
        <w:t> </w:t>
      </w:r>
      <w:r>
        <w:rPr/>
        <w:t>de</w:t>
      </w:r>
      <w:r>
        <w:rPr>
          <w:spacing w:val="-4"/>
        </w:rPr>
        <w:t> </w:t>
      </w:r>
      <w:r>
        <w:rPr/>
        <w:t>Administración</w:t>
      </w:r>
      <w:r>
        <w:rPr>
          <w:spacing w:val="-4"/>
        </w:rPr>
        <w:t> </w:t>
      </w:r>
      <w:r>
        <w:rPr/>
        <w:t>de</w:t>
      </w:r>
      <w:r>
        <w:rPr>
          <w:spacing w:val="-4"/>
        </w:rPr>
        <w:t> </w:t>
      </w:r>
      <w:r>
        <w:rPr/>
        <w:t>la</w:t>
      </w:r>
      <w:r>
        <w:rPr>
          <w:spacing w:val="-5"/>
        </w:rPr>
        <w:t> </w:t>
      </w:r>
      <w:r>
        <w:rPr/>
        <w:t>Sociedad</w:t>
      </w:r>
      <w:r>
        <w:rPr>
          <w:spacing w:val="-4"/>
        </w:rPr>
        <w:t> </w:t>
      </w:r>
      <w:r>
        <w:rPr/>
        <w:t>y</w:t>
      </w:r>
      <w:r>
        <w:rPr>
          <w:spacing w:val="-6"/>
        </w:rPr>
        <w:t> </w:t>
      </w:r>
      <w:r>
        <w:rPr/>
        <w:t>personas vinculadas a los mismos a que se refiere el artículo 231, no han comunicado situaciones</w:t>
      </w:r>
      <w:r>
        <w:rPr>
          <w:spacing w:val="-1"/>
        </w:rPr>
        <w:t> </w:t>
      </w:r>
      <w:r>
        <w:rPr/>
        <w:t>de conflicto, directo o indirecto, que pudieran tener con el interés de la Sociedad.</w:t>
      </w:r>
    </w:p>
    <w:p>
      <w:pPr>
        <w:pStyle w:val="BodyText"/>
        <w:spacing w:before="213"/>
      </w:pPr>
    </w:p>
    <w:p>
      <w:pPr>
        <w:pStyle w:val="Heading1"/>
        <w:numPr>
          <w:ilvl w:val="0"/>
          <w:numId w:val="11"/>
        </w:numPr>
        <w:tabs>
          <w:tab w:pos="708" w:val="left" w:leader="none"/>
        </w:tabs>
        <w:spacing w:line="240" w:lineRule="auto" w:before="0" w:after="0"/>
        <w:ind w:left="708" w:right="0" w:hanging="358"/>
        <w:jc w:val="left"/>
      </w:pPr>
      <w:r>
        <w:rPr/>
        <w:t>Otra</w:t>
      </w:r>
      <w:r>
        <w:rPr>
          <w:spacing w:val="-6"/>
        </w:rPr>
        <w:t> </w:t>
      </w:r>
      <w:r>
        <w:rPr>
          <w:spacing w:val="-2"/>
        </w:rPr>
        <w:t>información</w:t>
      </w:r>
    </w:p>
    <w:p>
      <w:pPr>
        <w:pStyle w:val="BodyText"/>
        <w:spacing w:before="14"/>
        <w:rPr>
          <w:b/>
        </w:rPr>
      </w:pPr>
    </w:p>
    <w:p>
      <w:pPr>
        <w:pStyle w:val="BodyText"/>
        <w:spacing w:before="1"/>
        <w:ind w:left="995"/>
        <w:jc w:val="both"/>
      </w:pPr>
      <w:r>
        <w:rPr>
          <w:spacing w:val="-2"/>
        </w:rPr>
        <w:t>El</w:t>
      </w:r>
      <w:r>
        <w:rPr>
          <w:spacing w:val="-12"/>
        </w:rPr>
        <w:t> </w:t>
      </w:r>
      <w:r>
        <w:rPr>
          <w:spacing w:val="-2"/>
        </w:rPr>
        <w:t>número</w:t>
      </w:r>
      <w:r>
        <w:rPr>
          <w:spacing w:val="-12"/>
        </w:rPr>
        <w:t> </w:t>
      </w:r>
      <w:r>
        <w:rPr>
          <w:spacing w:val="-2"/>
        </w:rPr>
        <w:t>medio</w:t>
      </w:r>
      <w:r>
        <w:rPr>
          <w:spacing w:val="-12"/>
        </w:rPr>
        <w:t> </w:t>
      </w:r>
      <w:r>
        <w:rPr>
          <w:spacing w:val="-2"/>
        </w:rPr>
        <w:t>de</w:t>
      </w:r>
      <w:r>
        <w:rPr>
          <w:spacing w:val="-11"/>
        </w:rPr>
        <w:t> </w:t>
      </w:r>
      <w:r>
        <w:rPr>
          <w:spacing w:val="-2"/>
        </w:rPr>
        <w:t>personas</w:t>
      </w:r>
      <w:r>
        <w:rPr>
          <w:spacing w:val="-12"/>
        </w:rPr>
        <w:t> </w:t>
      </w:r>
      <w:r>
        <w:rPr>
          <w:spacing w:val="-2"/>
        </w:rPr>
        <w:t>empleadas</w:t>
      </w:r>
      <w:r>
        <w:rPr>
          <w:spacing w:val="-12"/>
        </w:rPr>
        <w:t> </w:t>
      </w:r>
      <w:r>
        <w:rPr>
          <w:spacing w:val="-2"/>
        </w:rPr>
        <w:t>durante</w:t>
      </w:r>
      <w:r>
        <w:rPr>
          <w:spacing w:val="-12"/>
        </w:rPr>
        <w:t> </w:t>
      </w:r>
      <w:r>
        <w:rPr>
          <w:spacing w:val="-2"/>
        </w:rPr>
        <w:t>los</w:t>
      </w:r>
      <w:r>
        <w:rPr>
          <w:spacing w:val="-11"/>
        </w:rPr>
        <w:t> </w:t>
      </w:r>
      <w:r>
        <w:rPr>
          <w:spacing w:val="-2"/>
        </w:rPr>
        <w:t>ejercicios</w:t>
      </w:r>
      <w:r>
        <w:rPr>
          <w:spacing w:val="-12"/>
        </w:rPr>
        <w:t> </w:t>
      </w:r>
      <w:r>
        <w:rPr>
          <w:spacing w:val="-2"/>
        </w:rPr>
        <w:t>2025</w:t>
      </w:r>
      <w:r>
        <w:rPr>
          <w:spacing w:val="-12"/>
        </w:rPr>
        <w:t> </w:t>
      </w:r>
      <w:r>
        <w:rPr>
          <w:spacing w:val="-2"/>
        </w:rPr>
        <w:t>y</w:t>
      </w:r>
      <w:r>
        <w:rPr>
          <w:spacing w:val="-12"/>
        </w:rPr>
        <w:t> </w:t>
      </w:r>
      <w:r>
        <w:rPr>
          <w:spacing w:val="-2"/>
        </w:rPr>
        <w:t>2024</w:t>
      </w:r>
      <w:r>
        <w:rPr>
          <w:spacing w:val="-11"/>
        </w:rPr>
        <w:t> </w:t>
      </w:r>
      <w:r>
        <w:rPr>
          <w:spacing w:val="-2"/>
        </w:rPr>
        <w:t>es</w:t>
      </w:r>
      <w:r>
        <w:rPr>
          <w:spacing w:val="-12"/>
        </w:rPr>
        <w:t> </w:t>
      </w:r>
      <w:r>
        <w:rPr>
          <w:spacing w:val="-2"/>
        </w:rPr>
        <w:t>el</w:t>
      </w:r>
      <w:r>
        <w:rPr>
          <w:spacing w:val="-12"/>
        </w:rPr>
        <w:t> </w:t>
      </w:r>
      <w:r>
        <w:rPr>
          <w:spacing w:val="-2"/>
        </w:rPr>
        <w:t>siguiente:</w:t>
      </w:r>
    </w:p>
    <w:p>
      <w:pPr>
        <w:pStyle w:val="BodyText"/>
        <w:spacing w:before="32"/>
        <w:rPr>
          <w:sz w:val="20"/>
        </w:rPr>
      </w:pPr>
    </w:p>
    <w:tbl>
      <w:tblPr>
        <w:tblW w:w="0" w:type="auto"/>
        <w:jc w:val="left"/>
        <w:tblInd w:w="3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46"/>
        <w:gridCol w:w="1215"/>
        <w:gridCol w:w="1229"/>
      </w:tblGrid>
      <w:tr>
        <w:trPr>
          <w:trHeight w:val="213" w:hRule="atLeast"/>
        </w:trPr>
        <w:tc>
          <w:tcPr>
            <w:tcW w:w="1546" w:type="dxa"/>
          </w:tcPr>
          <w:p>
            <w:pPr>
              <w:pStyle w:val="TableParagraph"/>
              <w:rPr>
                <w:sz w:val="14"/>
              </w:rPr>
            </w:pPr>
          </w:p>
        </w:tc>
        <w:tc>
          <w:tcPr>
            <w:tcW w:w="1215" w:type="dxa"/>
          </w:tcPr>
          <w:p>
            <w:pPr>
              <w:pStyle w:val="TableParagraph"/>
              <w:tabs>
                <w:tab w:pos="533" w:val="left" w:leader="none"/>
              </w:tabs>
              <w:spacing w:line="193" w:lineRule="exact"/>
              <w:ind w:right="198"/>
              <w:jc w:val="right"/>
              <w:rPr>
                <w:b/>
                <w:sz w:val="18"/>
              </w:rPr>
            </w:pPr>
            <w:r>
              <w:rPr>
                <w:b/>
                <w:sz w:val="18"/>
                <w:u w:val="single"/>
              </w:rPr>
              <w:tab/>
            </w:r>
            <w:r>
              <w:rPr>
                <w:b/>
                <w:spacing w:val="-4"/>
                <w:sz w:val="18"/>
                <w:u w:val="single"/>
              </w:rPr>
              <w:t>2025</w:t>
            </w:r>
            <w:r>
              <w:rPr>
                <w:b/>
                <w:spacing w:val="80"/>
                <w:sz w:val="18"/>
                <w:u w:val="single"/>
              </w:rPr>
              <w:t> </w:t>
            </w:r>
          </w:p>
        </w:tc>
        <w:tc>
          <w:tcPr>
            <w:tcW w:w="1229" w:type="dxa"/>
          </w:tcPr>
          <w:p>
            <w:pPr>
              <w:pStyle w:val="TableParagraph"/>
              <w:tabs>
                <w:tab w:pos="533" w:val="left" w:leader="none"/>
              </w:tabs>
              <w:spacing w:line="193" w:lineRule="exact"/>
              <w:ind w:right="47"/>
              <w:jc w:val="right"/>
              <w:rPr>
                <w:b/>
                <w:sz w:val="18"/>
              </w:rPr>
            </w:pPr>
            <w:r>
              <w:rPr>
                <w:b/>
                <w:sz w:val="18"/>
                <w:u w:val="single"/>
              </w:rPr>
              <w:tab/>
            </w:r>
            <w:r>
              <w:rPr>
                <w:b/>
                <w:spacing w:val="-4"/>
                <w:sz w:val="18"/>
                <w:u w:val="single"/>
              </w:rPr>
              <w:t>2024</w:t>
            </w:r>
            <w:r>
              <w:rPr>
                <w:b/>
                <w:spacing w:val="80"/>
                <w:sz w:val="18"/>
                <w:u w:val="single"/>
              </w:rPr>
              <w:t> </w:t>
            </w:r>
          </w:p>
        </w:tc>
      </w:tr>
      <w:tr>
        <w:trPr>
          <w:trHeight w:val="217" w:hRule="atLeast"/>
        </w:trPr>
        <w:tc>
          <w:tcPr>
            <w:tcW w:w="1546" w:type="dxa"/>
          </w:tcPr>
          <w:p>
            <w:pPr>
              <w:pStyle w:val="TableParagraph"/>
              <w:spacing w:line="191" w:lineRule="exact" w:before="6"/>
              <w:ind w:left="50"/>
              <w:rPr>
                <w:sz w:val="18"/>
              </w:rPr>
            </w:pPr>
            <w:r>
              <w:rPr>
                <w:sz w:val="18"/>
              </w:rPr>
              <w:t>Alta</w:t>
            </w:r>
            <w:r>
              <w:rPr>
                <w:spacing w:val="1"/>
                <w:sz w:val="18"/>
              </w:rPr>
              <w:t> </w:t>
            </w:r>
            <w:r>
              <w:rPr>
                <w:spacing w:val="-2"/>
                <w:sz w:val="18"/>
              </w:rPr>
              <w:t>dirección</w:t>
            </w:r>
          </w:p>
        </w:tc>
        <w:tc>
          <w:tcPr>
            <w:tcW w:w="1215" w:type="dxa"/>
          </w:tcPr>
          <w:p>
            <w:pPr>
              <w:pStyle w:val="TableParagraph"/>
              <w:spacing w:line="191" w:lineRule="exact" w:before="6"/>
              <w:ind w:right="266"/>
              <w:jc w:val="right"/>
              <w:rPr>
                <w:sz w:val="18"/>
              </w:rPr>
            </w:pPr>
            <w:r>
              <w:rPr>
                <w:spacing w:val="-4"/>
                <w:sz w:val="18"/>
              </w:rPr>
              <w:t>1,00</w:t>
            </w:r>
          </w:p>
        </w:tc>
        <w:tc>
          <w:tcPr>
            <w:tcW w:w="1229" w:type="dxa"/>
          </w:tcPr>
          <w:p>
            <w:pPr>
              <w:pStyle w:val="TableParagraph"/>
              <w:spacing w:line="191" w:lineRule="exact" w:before="6"/>
              <w:ind w:right="115"/>
              <w:jc w:val="right"/>
              <w:rPr>
                <w:sz w:val="18"/>
              </w:rPr>
            </w:pPr>
            <w:r>
              <w:rPr>
                <w:spacing w:val="-4"/>
                <w:sz w:val="18"/>
              </w:rPr>
              <w:t>1,00</w:t>
            </w:r>
          </w:p>
        </w:tc>
      </w:tr>
      <w:tr>
        <w:trPr>
          <w:trHeight w:val="207" w:hRule="atLeast"/>
        </w:trPr>
        <w:tc>
          <w:tcPr>
            <w:tcW w:w="1546" w:type="dxa"/>
          </w:tcPr>
          <w:p>
            <w:pPr>
              <w:pStyle w:val="TableParagraph"/>
              <w:spacing w:line="187" w:lineRule="exact"/>
              <w:ind w:left="50"/>
              <w:rPr>
                <w:sz w:val="18"/>
              </w:rPr>
            </w:pPr>
            <w:r>
              <w:rPr>
                <w:spacing w:val="-2"/>
                <w:sz w:val="18"/>
              </w:rPr>
              <w:t>Técnico</w:t>
            </w:r>
          </w:p>
        </w:tc>
        <w:tc>
          <w:tcPr>
            <w:tcW w:w="1215" w:type="dxa"/>
          </w:tcPr>
          <w:p>
            <w:pPr>
              <w:pStyle w:val="TableParagraph"/>
              <w:spacing w:line="187" w:lineRule="exact"/>
              <w:ind w:right="267"/>
              <w:jc w:val="right"/>
              <w:rPr>
                <w:sz w:val="18"/>
              </w:rPr>
            </w:pPr>
            <w:r>
              <w:rPr>
                <w:spacing w:val="-10"/>
                <w:sz w:val="18"/>
              </w:rPr>
              <w:t>-</w:t>
            </w:r>
          </w:p>
        </w:tc>
        <w:tc>
          <w:tcPr>
            <w:tcW w:w="1229" w:type="dxa"/>
          </w:tcPr>
          <w:p>
            <w:pPr>
              <w:pStyle w:val="TableParagraph"/>
              <w:spacing w:line="187" w:lineRule="exact"/>
              <w:ind w:right="115"/>
              <w:jc w:val="right"/>
              <w:rPr>
                <w:sz w:val="18"/>
              </w:rPr>
            </w:pPr>
            <w:r>
              <w:rPr>
                <w:spacing w:val="-4"/>
                <w:sz w:val="18"/>
              </w:rPr>
              <w:t>0,25</w:t>
            </w:r>
          </w:p>
        </w:tc>
      </w:tr>
      <w:tr>
        <w:trPr>
          <w:trHeight w:val="216" w:hRule="atLeast"/>
        </w:trPr>
        <w:tc>
          <w:tcPr>
            <w:tcW w:w="1546" w:type="dxa"/>
          </w:tcPr>
          <w:p>
            <w:pPr>
              <w:pStyle w:val="TableParagraph"/>
              <w:spacing w:line="197" w:lineRule="exact"/>
              <w:ind w:left="50"/>
              <w:rPr>
                <w:sz w:val="18"/>
              </w:rPr>
            </w:pPr>
            <w:r>
              <w:rPr>
                <w:sz w:val="18"/>
              </w:rPr>
              <w:t>Adjunta a </w:t>
            </w:r>
            <w:r>
              <w:rPr>
                <w:spacing w:val="-2"/>
                <w:sz w:val="18"/>
              </w:rPr>
              <w:t>Dirección</w:t>
            </w:r>
          </w:p>
        </w:tc>
        <w:tc>
          <w:tcPr>
            <w:tcW w:w="1215" w:type="dxa"/>
          </w:tcPr>
          <w:p>
            <w:pPr>
              <w:pStyle w:val="TableParagraph"/>
              <w:tabs>
                <w:tab w:pos="579" w:val="left" w:leader="none"/>
              </w:tabs>
              <w:spacing w:line="197" w:lineRule="exact"/>
              <w:ind w:right="198"/>
              <w:jc w:val="right"/>
              <w:rPr>
                <w:sz w:val="18"/>
              </w:rPr>
            </w:pPr>
            <w:r>
              <w:rPr>
                <w:sz w:val="18"/>
                <w:u w:val="single"/>
              </w:rPr>
              <w:tab/>
            </w:r>
            <w:r>
              <w:rPr>
                <w:spacing w:val="-4"/>
                <w:sz w:val="18"/>
                <w:u w:val="single"/>
              </w:rPr>
              <w:t>1,00</w:t>
            </w:r>
            <w:r>
              <w:rPr>
                <w:spacing w:val="40"/>
                <w:sz w:val="18"/>
                <w:u w:val="single"/>
              </w:rPr>
              <w:t> </w:t>
            </w:r>
          </w:p>
        </w:tc>
        <w:tc>
          <w:tcPr>
            <w:tcW w:w="1229" w:type="dxa"/>
          </w:tcPr>
          <w:p>
            <w:pPr>
              <w:pStyle w:val="TableParagraph"/>
              <w:tabs>
                <w:tab w:pos="579" w:val="left" w:leader="none"/>
              </w:tabs>
              <w:spacing w:line="197" w:lineRule="exact"/>
              <w:ind w:right="47"/>
              <w:jc w:val="right"/>
              <w:rPr>
                <w:sz w:val="18"/>
              </w:rPr>
            </w:pPr>
            <w:r>
              <w:rPr>
                <w:sz w:val="18"/>
                <w:u w:val="single"/>
              </w:rPr>
              <w:tab/>
            </w:r>
            <w:r>
              <w:rPr>
                <w:spacing w:val="-4"/>
                <w:sz w:val="18"/>
                <w:u w:val="single"/>
              </w:rPr>
              <w:t>0,67</w:t>
            </w:r>
            <w:r>
              <w:rPr>
                <w:spacing w:val="40"/>
                <w:sz w:val="18"/>
                <w:u w:val="single"/>
              </w:rPr>
              <w:t> </w:t>
            </w:r>
          </w:p>
        </w:tc>
      </w:tr>
      <w:tr>
        <w:trPr>
          <w:trHeight w:val="213" w:hRule="atLeast"/>
        </w:trPr>
        <w:tc>
          <w:tcPr>
            <w:tcW w:w="1546" w:type="dxa"/>
          </w:tcPr>
          <w:p>
            <w:pPr>
              <w:pStyle w:val="TableParagraph"/>
              <w:rPr>
                <w:sz w:val="14"/>
              </w:rPr>
            </w:pPr>
          </w:p>
        </w:tc>
        <w:tc>
          <w:tcPr>
            <w:tcW w:w="1215" w:type="dxa"/>
          </w:tcPr>
          <w:p>
            <w:pPr>
              <w:pStyle w:val="TableParagraph"/>
              <w:tabs>
                <w:tab w:pos="593" w:val="left" w:leader="none"/>
              </w:tabs>
              <w:spacing w:line="187" w:lineRule="exact" w:before="6"/>
              <w:ind w:right="198"/>
              <w:jc w:val="right"/>
              <w:rPr>
                <w:b/>
                <w:sz w:val="18"/>
              </w:rPr>
            </w:pPr>
            <w:r>
              <w:rPr>
                <w:b/>
                <w:sz w:val="18"/>
                <w:u w:val="double"/>
              </w:rPr>
              <w:tab/>
            </w:r>
            <w:r>
              <w:rPr>
                <w:b/>
                <w:spacing w:val="-4"/>
                <w:sz w:val="18"/>
                <w:u w:val="double"/>
              </w:rPr>
              <w:t>2,00</w:t>
            </w:r>
            <w:r>
              <w:rPr>
                <w:b/>
                <w:spacing w:val="40"/>
                <w:sz w:val="18"/>
                <w:u w:val="double"/>
              </w:rPr>
              <w:t> </w:t>
            </w:r>
          </w:p>
        </w:tc>
        <w:tc>
          <w:tcPr>
            <w:tcW w:w="1229" w:type="dxa"/>
          </w:tcPr>
          <w:p>
            <w:pPr>
              <w:pStyle w:val="TableParagraph"/>
              <w:tabs>
                <w:tab w:pos="593" w:val="left" w:leader="none"/>
              </w:tabs>
              <w:spacing w:line="187" w:lineRule="exact" w:before="6"/>
              <w:ind w:right="47"/>
              <w:jc w:val="right"/>
              <w:rPr>
                <w:b/>
                <w:sz w:val="18"/>
              </w:rPr>
            </w:pPr>
            <w:r>
              <w:rPr>
                <w:b/>
                <w:sz w:val="18"/>
                <w:u w:val="double"/>
              </w:rPr>
              <w:tab/>
            </w:r>
            <w:r>
              <w:rPr>
                <w:b/>
                <w:spacing w:val="-4"/>
                <w:sz w:val="18"/>
                <w:u w:val="double"/>
              </w:rPr>
              <w:t>1,92</w:t>
            </w:r>
            <w:r>
              <w:rPr>
                <w:b/>
                <w:spacing w:val="40"/>
                <w:sz w:val="18"/>
                <w:u w:val="double"/>
              </w:rPr>
              <w:t> </w:t>
            </w:r>
          </w:p>
        </w:tc>
      </w:tr>
    </w:tbl>
    <w:p>
      <w:pPr>
        <w:pStyle w:val="BodyText"/>
        <w:spacing w:before="53"/>
      </w:pPr>
    </w:p>
    <w:p>
      <w:pPr>
        <w:pStyle w:val="BodyText"/>
        <w:spacing w:line="247" w:lineRule="auto"/>
        <w:ind w:left="995" w:right="841"/>
        <w:jc w:val="both"/>
      </w:pPr>
      <w:r>
        <w:rPr/>
        <w:t>El número de personas empleadas al cierre de los ejercicios 2025 y 2024, distribuido por categorías profesionales y por sexo, es el siguiente:</w:t>
      </w:r>
    </w:p>
    <w:p>
      <w:pPr>
        <w:pStyle w:val="BodyText"/>
        <w:spacing w:before="38"/>
        <w:rPr>
          <w:sz w:val="20"/>
        </w:rPr>
      </w:pPr>
    </w:p>
    <w:tbl>
      <w:tblPr>
        <w:tblW w:w="0" w:type="auto"/>
        <w:jc w:val="left"/>
        <w:tblInd w:w="1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52"/>
        <w:gridCol w:w="372"/>
        <w:gridCol w:w="2555"/>
        <w:gridCol w:w="162"/>
        <w:gridCol w:w="2516"/>
      </w:tblGrid>
      <w:tr>
        <w:trPr>
          <w:trHeight w:val="467" w:hRule="atLeast"/>
        </w:trPr>
        <w:tc>
          <w:tcPr>
            <w:tcW w:w="1852" w:type="dxa"/>
            <w:tcBorders>
              <w:bottom w:val="single" w:sz="8" w:space="0" w:color="000000"/>
            </w:tcBorders>
          </w:tcPr>
          <w:p>
            <w:pPr>
              <w:pStyle w:val="TableParagraph"/>
              <w:spacing w:before="27"/>
              <w:rPr>
                <w:sz w:val="18"/>
              </w:rPr>
            </w:pPr>
          </w:p>
          <w:p>
            <w:pPr>
              <w:pStyle w:val="TableParagraph"/>
              <w:ind w:left="70"/>
              <w:rPr>
                <w:b/>
                <w:sz w:val="18"/>
              </w:rPr>
            </w:pPr>
            <w:r>
              <w:rPr>
                <w:b/>
                <w:sz w:val="18"/>
              </w:rPr>
              <w:t>Categoría</w:t>
            </w:r>
            <w:r>
              <w:rPr>
                <w:b/>
                <w:spacing w:val="-2"/>
                <w:sz w:val="18"/>
              </w:rPr>
              <w:t> profesional</w:t>
            </w:r>
          </w:p>
        </w:tc>
        <w:tc>
          <w:tcPr>
            <w:tcW w:w="372" w:type="dxa"/>
          </w:tcPr>
          <w:p>
            <w:pPr>
              <w:pStyle w:val="TableParagraph"/>
              <w:rPr>
                <w:sz w:val="20"/>
              </w:rPr>
            </w:pPr>
          </w:p>
        </w:tc>
        <w:tc>
          <w:tcPr>
            <w:tcW w:w="2555" w:type="dxa"/>
          </w:tcPr>
          <w:p>
            <w:pPr>
              <w:pStyle w:val="TableParagraph"/>
              <w:tabs>
                <w:tab w:pos="881" w:val="left" w:leader="none"/>
                <w:tab w:pos="2554" w:val="left" w:leader="none"/>
              </w:tabs>
              <w:spacing w:line="199" w:lineRule="exact"/>
              <w:ind w:left="13"/>
              <w:jc w:val="center"/>
              <w:rPr>
                <w:b/>
                <w:sz w:val="18"/>
              </w:rPr>
            </w:pPr>
            <w:r>
              <w:rPr>
                <w:b/>
                <w:sz w:val="18"/>
                <w:u w:val="single"/>
              </w:rPr>
              <w:tab/>
              <w:t>A</w:t>
            </w:r>
            <w:r>
              <w:rPr>
                <w:b/>
                <w:spacing w:val="-1"/>
                <w:sz w:val="18"/>
                <w:u w:val="single"/>
              </w:rPr>
              <w:t> </w:t>
            </w:r>
            <w:r>
              <w:rPr>
                <w:b/>
                <w:spacing w:val="-2"/>
                <w:sz w:val="18"/>
                <w:u w:val="single"/>
              </w:rPr>
              <w:t>31.12.25</w:t>
            </w:r>
            <w:r>
              <w:rPr>
                <w:b/>
                <w:sz w:val="18"/>
                <w:u w:val="single"/>
              </w:rPr>
              <w:tab/>
            </w:r>
          </w:p>
          <w:p>
            <w:pPr>
              <w:pStyle w:val="TableParagraph"/>
              <w:tabs>
                <w:tab w:pos="1383" w:val="left" w:leader="none"/>
              </w:tabs>
              <w:spacing w:before="35"/>
              <w:jc w:val="center"/>
              <w:rPr>
                <w:b/>
                <w:sz w:val="18"/>
              </w:rPr>
            </w:pPr>
            <w:r>
              <w:rPr>
                <w:b/>
                <w:spacing w:val="-2"/>
                <w:sz w:val="18"/>
              </w:rPr>
              <w:t>Hombres</w:t>
            </w:r>
            <w:r>
              <w:rPr>
                <w:b/>
                <w:sz w:val="18"/>
              </w:rPr>
              <w:tab/>
            </w:r>
            <w:r>
              <w:rPr>
                <w:b/>
                <w:spacing w:val="-2"/>
                <w:sz w:val="18"/>
              </w:rPr>
              <w:t>Mujeres</w:t>
            </w:r>
          </w:p>
        </w:tc>
        <w:tc>
          <w:tcPr>
            <w:tcW w:w="162" w:type="dxa"/>
          </w:tcPr>
          <w:p>
            <w:pPr>
              <w:pStyle w:val="TableParagraph"/>
              <w:rPr>
                <w:sz w:val="20"/>
              </w:rPr>
            </w:pPr>
          </w:p>
        </w:tc>
        <w:tc>
          <w:tcPr>
            <w:tcW w:w="2516" w:type="dxa"/>
          </w:tcPr>
          <w:p>
            <w:pPr>
              <w:pStyle w:val="TableParagraph"/>
              <w:tabs>
                <w:tab w:pos="861" w:val="left" w:leader="none"/>
                <w:tab w:pos="2514" w:val="left" w:leader="none"/>
              </w:tabs>
              <w:spacing w:line="199" w:lineRule="exact"/>
              <w:ind w:left="13"/>
              <w:jc w:val="center"/>
              <w:rPr>
                <w:b/>
                <w:sz w:val="18"/>
              </w:rPr>
            </w:pPr>
            <w:r>
              <w:rPr>
                <w:b/>
                <w:sz w:val="18"/>
                <w:u w:val="single"/>
              </w:rPr>
              <w:tab/>
              <w:t>A</w:t>
            </w:r>
            <w:r>
              <w:rPr>
                <w:b/>
                <w:spacing w:val="-1"/>
                <w:sz w:val="18"/>
                <w:u w:val="single"/>
              </w:rPr>
              <w:t> </w:t>
            </w:r>
            <w:r>
              <w:rPr>
                <w:b/>
                <w:spacing w:val="-2"/>
                <w:sz w:val="18"/>
                <w:u w:val="single"/>
              </w:rPr>
              <w:t>31.12.24</w:t>
            </w:r>
            <w:r>
              <w:rPr>
                <w:b/>
                <w:sz w:val="18"/>
                <w:u w:val="single"/>
              </w:rPr>
              <w:tab/>
            </w:r>
          </w:p>
          <w:p>
            <w:pPr>
              <w:pStyle w:val="TableParagraph"/>
              <w:tabs>
                <w:tab w:pos="1346" w:val="left" w:leader="none"/>
              </w:tabs>
              <w:spacing w:before="35"/>
              <w:ind w:left="1"/>
              <w:jc w:val="center"/>
              <w:rPr>
                <w:b/>
                <w:sz w:val="18"/>
              </w:rPr>
            </w:pPr>
            <w:r>
              <w:rPr>
                <w:b/>
                <w:spacing w:val="-2"/>
                <w:sz w:val="18"/>
              </w:rPr>
              <w:t>Hombres</w:t>
            </w:r>
            <w:r>
              <w:rPr>
                <w:b/>
                <w:sz w:val="18"/>
              </w:rPr>
              <w:tab/>
            </w:r>
            <w:r>
              <w:rPr>
                <w:b/>
                <w:spacing w:val="-2"/>
                <w:sz w:val="18"/>
              </w:rPr>
              <w:t>Mujeres</w:t>
            </w:r>
          </w:p>
        </w:tc>
      </w:tr>
      <w:tr>
        <w:trPr>
          <w:trHeight w:val="635" w:hRule="atLeast"/>
        </w:trPr>
        <w:tc>
          <w:tcPr>
            <w:tcW w:w="1852" w:type="dxa"/>
            <w:tcBorders>
              <w:top w:val="single" w:sz="8" w:space="0" w:color="000000"/>
            </w:tcBorders>
          </w:tcPr>
          <w:p>
            <w:pPr>
              <w:pStyle w:val="TableParagraph"/>
              <w:ind w:left="70" w:right="709"/>
              <w:rPr>
                <w:sz w:val="18"/>
              </w:rPr>
            </w:pPr>
            <w:r>
              <w:rPr>
                <w:sz w:val="18"/>
              </w:rPr>
              <w:t>Alta</w:t>
            </w:r>
            <w:r>
              <w:rPr>
                <w:spacing w:val="-12"/>
                <w:sz w:val="18"/>
              </w:rPr>
              <w:t> </w:t>
            </w:r>
            <w:r>
              <w:rPr>
                <w:sz w:val="18"/>
              </w:rPr>
              <w:t>Dirección </w:t>
            </w:r>
            <w:r>
              <w:rPr>
                <w:spacing w:val="-2"/>
                <w:sz w:val="18"/>
              </w:rPr>
              <w:t>Técnico</w:t>
            </w:r>
          </w:p>
          <w:p>
            <w:pPr>
              <w:pStyle w:val="TableParagraph"/>
              <w:spacing w:line="201" w:lineRule="exact"/>
              <w:ind w:left="70"/>
              <w:rPr>
                <w:sz w:val="18"/>
              </w:rPr>
            </w:pPr>
            <w:r>
              <w:rPr>
                <w:sz w:val="18"/>
              </w:rPr>
              <w:t>Adjunta a </w:t>
            </w:r>
            <w:r>
              <w:rPr>
                <w:spacing w:val="-2"/>
                <w:sz w:val="18"/>
              </w:rPr>
              <w:t>Dirección</w:t>
            </w:r>
          </w:p>
        </w:tc>
        <w:tc>
          <w:tcPr>
            <w:tcW w:w="372" w:type="dxa"/>
          </w:tcPr>
          <w:p>
            <w:pPr>
              <w:pStyle w:val="TableParagraph"/>
              <w:rPr>
                <w:sz w:val="20"/>
              </w:rPr>
            </w:pPr>
          </w:p>
        </w:tc>
        <w:tc>
          <w:tcPr>
            <w:tcW w:w="2555" w:type="dxa"/>
          </w:tcPr>
          <w:p>
            <w:pPr>
              <w:pStyle w:val="TableParagraph"/>
              <w:spacing w:line="20" w:lineRule="exact"/>
              <w:ind w:left="14" w:right="-72"/>
              <w:rPr>
                <w:sz w:val="2"/>
              </w:rPr>
            </w:pPr>
            <w:r>
              <w:rPr>
                <w:sz w:val="2"/>
              </w:rPr>
              <mc:AlternateContent>
                <mc:Choice Requires="wps">
                  <w:drawing>
                    <wp:inline distT="0" distB="0" distL="0" distR="0">
                      <wp:extent cx="745490" cy="12700"/>
                      <wp:effectExtent l="0" t="0" r="0" b="0"/>
                      <wp:docPr id="39" name="Group 39"/>
                      <wp:cNvGraphicFramePr>
                        <a:graphicFrameLocks/>
                      </wp:cNvGraphicFramePr>
                      <a:graphic>
                        <a:graphicData uri="http://schemas.microsoft.com/office/word/2010/wordprocessingGroup">
                          <wpg:wgp>
                            <wpg:cNvPr id="39" name="Group 39"/>
                            <wpg:cNvGrpSpPr/>
                            <wpg:grpSpPr>
                              <a:xfrm>
                                <a:off x="0" y="0"/>
                                <a:ext cx="745490" cy="12700"/>
                                <a:chExt cx="745490" cy="12700"/>
                              </a:xfrm>
                            </wpg:grpSpPr>
                            <wps:wsp>
                              <wps:cNvPr id="40" name="Graphic 40"/>
                              <wps:cNvSpPr/>
                              <wps:spPr>
                                <a:xfrm>
                                  <a:off x="0" y="0"/>
                                  <a:ext cx="745490" cy="12700"/>
                                </a:xfrm>
                                <a:custGeom>
                                  <a:avLst/>
                                  <a:gdLst/>
                                  <a:ahLst/>
                                  <a:cxnLst/>
                                  <a:rect l="l" t="t" r="r" b="b"/>
                                  <a:pathLst>
                                    <a:path w="745490" h="12700">
                                      <a:moveTo>
                                        <a:pt x="745490" y="0"/>
                                      </a:moveTo>
                                      <a:lnTo>
                                        <a:pt x="0" y="0"/>
                                      </a:lnTo>
                                      <a:lnTo>
                                        <a:pt x="0" y="12192"/>
                                      </a:lnTo>
                                      <a:lnTo>
                                        <a:pt x="745490" y="12192"/>
                                      </a:lnTo>
                                      <a:lnTo>
                                        <a:pt x="7454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8.7pt;height:1pt;mso-position-horizontal-relative:char;mso-position-vertical-relative:line" id="docshapegroup39" coordorigin="0,0" coordsize="1174,20">
                      <v:rect style="position:absolute;left:0;top:0;width:1174;height:20" id="docshape40" filled="true" fillcolor="#000000" stroked="false">
                        <v:fill type="solid"/>
                      </v:rect>
                    </v:group>
                  </w:pict>
                </mc:Fallback>
              </mc:AlternateContent>
            </w:r>
            <w:r>
              <w:rPr>
                <w:sz w:val="2"/>
              </w:rPr>
            </w:r>
            <w:r>
              <w:rPr>
                <w:spacing w:val="170"/>
                <w:sz w:val="2"/>
              </w:rPr>
              <w:t> </w:t>
            </w:r>
            <w:r>
              <w:rPr>
                <w:spacing w:val="170"/>
                <w:sz w:val="2"/>
              </w:rPr>
              <mc:AlternateContent>
                <mc:Choice Requires="wps">
                  <w:drawing>
                    <wp:inline distT="0" distB="0" distL="0" distR="0">
                      <wp:extent cx="744855" cy="12700"/>
                      <wp:effectExtent l="0" t="0" r="0" b="0"/>
                      <wp:docPr id="41" name="Group 41"/>
                      <wp:cNvGraphicFramePr>
                        <a:graphicFrameLocks/>
                      </wp:cNvGraphicFramePr>
                      <a:graphic>
                        <a:graphicData uri="http://schemas.microsoft.com/office/word/2010/wordprocessingGroup">
                          <wpg:wgp>
                            <wpg:cNvPr id="41" name="Group 41"/>
                            <wpg:cNvGrpSpPr/>
                            <wpg:grpSpPr>
                              <a:xfrm>
                                <a:off x="0" y="0"/>
                                <a:ext cx="744855" cy="12700"/>
                                <a:chExt cx="744855" cy="12700"/>
                              </a:xfrm>
                            </wpg:grpSpPr>
                            <wps:wsp>
                              <wps:cNvPr id="42" name="Graphic 42"/>
                              <wps:cNvSpPr/>
                              <wps:spPr>
                                <a:xfrm>
                                  <a:off x="0" y="0"/>
                                  <a:ext cx="744855" cy="12700"/>
                                </a:xfrm>
                                <a:custGeom>
                                  <a:avLst/>
                                  <a:gdLst/>
                                  <a:ahLst/>
                                  <a:cxnLst/>
                                  <a:rect l="l" t="t" r="r" b="b"/>
                                  <a:pathLst>
                                    <a:path w="744855" h="12700">
                                      <a:moveTo>
                                        <a:pt x="744474" y="0"/>
                                      </a:moveTo>
                                      <a:lnTo>
                                        <a:pt x="0" y="0"/>
                                      </a:lnTo>
                                      <a:lnTo>
                                        <a:pt x="0" y="12192"/>
                                      </a:lnTo>
                                      <a:lnTo>
                                        <a:pt x="744474" y="12192"/>
                                      </a:lnTo>
                                      <a:lnTo>
                                        <a:pt x="7444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8.65pt;height:1pt;mso-position-horizontal-relative:char;mso-position-vertical-relative:line" id="docshapegroup41" coordorigin="0,0" coordsize="1173,20">
                      <v:rect style="position:absolute;left:0;top:0;width:1173;height:20" id="docshape42" filled="true" fillcolor="#000000" stroked="false">
                        <v:fill type="solid"/>
                      </v:rect>
                    </v:group>
                  </w:pict>
                </mc:Fallback>
              </mc:AlternateContent>
            </w:r>
            <w:r>
              <w:rPr>
                <w:spacing w:val="170"/>
                <w:sz w:val="2"/>
              </w:rPr>
            </w:r>
          </w:p>
          <w:p>
            <w:pPr>
              <w:pStyle w:val="TableParagraph"/>
              <w:tabs>
                <w:tab w:pos="1382" w:val="left" w:leader="none"/>
              </w:tabs>
              <w:ind w:left="31"/>
              <w:jc w:val="center"/>
              <w:rPr>
                <w:sz w:val="18"/>
              </w:rPr>
            </w:pPr>
            <w:r>
              <w:rPr>
                <w:spacing w:val="-10"/>
                <w:sz w:val="18"/>
              </w:rPr>
              <w:t>-</w:t>
            </w:r>
            <w:r>
              <w:rPr>
                <w:sz w:val="18"/>
              </w:rPr>
              <w:tab/>
            </w:r>
            <w:r>
              <w:rPr>
                <w:spacing w:val="-10"/>
                <w:sz w:val="18"/>
              </w:rPr>
              <w:t>1</w:t>
            </w:r>
          </w:p>
          <w:p>
            <w:pPr>
              <w:pStyle w:val="TableParagraph"/>
              <w:tabs>
                <w:tab w:pos="1383" w:val="left" w:leader="none"/>
              </w:tabs>
              <w:spacing w:line="207" w:lineRule="exact"/>
              <w:ind w:left="16"/>
              <w:jc w:val="center"/>
              <w:rPr>
                <w:sz w:val="18"/>
              </w:rPr>
            </w:pPr>
            <w:r>
              <w:rPr>
                <w:spacing w:val="-10"/>
                <w:sz w:val="18"/>
              </w:rPr>
              <w:t>-</w:t>
            </w:r>
            <w:r>
              <w:rPr>
                <w:sz w:val="18"/>
              </w:rPr>
              <w:tab/>
            </w:r>
            <w:r>
              <w:rPr>
                <w:spacing w:val="-10"/>
                <w:sz w:val="18"/>
              </w:rPr>
              <w:t>-</w:t>
            </w:r>
          </w:p>
          <w:p>
            <w:pPr>
              <w:pStyle w:val="TableParagraph"/>
              <w:tabs>
                <w:tab w:pos="572" w:val="left" w:leader="none"/>
                <w:tab w:pos="1187" w:val="left" w:leader="none"/>
                <w:tab w:pos="1923" w:val="left" w:leader="none"/>
                <w:tab w:pos="2554" w:val="left" w:leader="none"/>
              </w:tabs>
              <w:spacing w:line="201" w:lineRule="exact"/>
              <w:ind w:left="13"/>
              <w:jc w:val="center"/>
              <w:rPr>
                <w:sz w:val="18"/>
              </w:rPr>
            </w:pPr>
            <w:r>
              <w:rPr>
                <w:sz w:val="18"/>
                <w:u w:val="single"/>
              </w:rPr>
              <w:tab/>
            </w:r>
            <w:r>
              <w:rPr>
                <w:spacing w:val="-10"/>
                <w:sz w:val="18"/>
                <w:u w:val="single"/>
              </w:rPr>
              <w:t>-</w:t>
            </w:r>
            <w:r>
              <w:rPr>
                <w:sz w:val="18"/>
                <w:u w:val="single"/>
              </w:rPr>
              <w:tab/>
            </w:r>
            <w:r>
              <w:rPr>
                <w:spacing w:val="149"/>
                <w:sz w:val="18"/>
                <w:u w:val="none"/>
              </w:rPr>
              <w:t> </w:t>
            </w:r>
            <w:r>
              <w:rPr>
                <w:sz w:val="18"/>
                <w:u w:val="single"/>
              </w:rPr>
              <w:tab/>
            </w:r>
            <w:r>
              <w:rPr>
                <w:spacing w:val="-10"/>
                <w:sz w:val="18"/>
                <w:u w:val="single"/>
              </w:rPr>
              <w:t>1</w:t>
            </w:r>
            <w:r>
              <w:rPr>
                <w:sz w:val="18"/>
                <w:u w:val="single"/>
              </w:rPr>
              <w:tab/>
            </w:r>
          </w:p>
        </w:tc>
        <w:tc>
          <w:tcPr>
            <w:tcW w:w="162" w:type="dxa"/>
          </w:tcPr>
          <w:p>
            <w:pPr>
              <w:pStyle w:val="TableParagraph"/>
              <w:rPr>
                <w:sz w:val="20"/>
              </w:rPr>
            </w:pPr>
          </w:p>
        </w:tc>
        <w:tc>
          <w:tcPr>
            <w:tcW w:w="2516" w:type="dxa"/>
          </w:tcPr>
          <w:p>
            <w:pPr>
              <w:pStyle w:val="TableParagraph"/>
              <w:spacing w:line="20" w:lineRule="exact"/>
              <w:ind w:left="14" w:right="-72"/>
              <w:rPr>
                <w:sz w:val="2"/>
              </w:rPr>
            </w:pPr>
            <w:r>
              <w:rPr>
                <w:sz w:val="2"/>
              </w:rPr>
              <mc:AlternateContent>
                <mc:Choice Requires="wps">
                  <w:drawing>
                    <wp:inline distT="0" distB="0" distL="0" distR="0">
                      <wp:extent cx="741680" cy="12700"/>
                      <wp:effectExtent l="0" t="0" r="0" b="0"/>
                      <wp:docPr id="43" name="Group 43"/>
                      <wp:cNvGraphicFramePr>
                        <a:graphicFrameLocks/>
                      </wp:cNvGraphicFramePr>
                      <a:graphic>
                        <a:graphicData uri="http://schemas.microsoft.com/office/word/2010/wordprocessingGroup">
                          <wpg:wgp>
                            <wpg:cNvPr id="43" name="Group 43"/>
                            <wpg:cNvGrpSpPr/>
                            <wpg:grpSpPr>
                              <a:xfrm>
                                <a:off x="0" y="0"/>
                                <a:ext cx="741680" cy="12700"/>
                                <a:chExt cx="741680" cy="12700"/>
                              </a:xfrm>
                            </wpg:grpSpPr>
                            <wps:wsp>
                              <wps:cNvPr id="44" name="Graphic 44"/>
                              <wps:cNvSpPr/>
                              <wps:spPr>
                                <a:xfrm>
                                  <a:off x="0" y="0"/>
                                  <a:ext cx="741680" cy="12700"/>
                                </a:xfrm>
                                <a:custGeom>
                                  <a:avLst/>
                                  <a:gdLst/>
                                  <a:ahLst/>
                                  <a:cxnLst/>
                                  <a:rect l="l" t="t" r="r" b="b"/>
                                  <a:pathLst>
                                    <a:path w="741680" h="12700">
                                      <a:moveTo>
                                        <a:pt x="741679" y="0"/>
                                      </a:moveTo>
                                      <a:lnTo>
                                        <a:pt x="0" y="0"/>
                                      </a:lnTo>
                                      <a:lnTo>
                                        <a:pt x="0" y="12192"/>
                                      </a:lnTo>
                                      <a:lnTo>
                                        <a:pt x="741679" y="12192"/>
                                      </a:lnTo>
                                      <a:lnTo>
                                        <a:pt x="74167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8.4pt;height:1pt;mso-position-horizontal-relative:char;mso-position-vertical-relative:line" id="docshapegroup43" coordorigin="0,0" coordsize="1168,20">
                      <v:rect style="position:absolute;left:0;top:0;width:1168;height:20" id="docshape44" filled="true" fillcolor="#000000" stroked="false">
                        <v:fill type="solid"/>
                      </v:rect>
                    </v:group>
                  </w:pict>
                </mc:Fallback>
              </mc:AlternateContent>
            </w:r>
            <w:r>
              <w:rPr>
                <w:sz w:val="2"/>
              </w:rPr>
            </w:r>
            <w:r>
              <w:rPr>
                <w:spacing w:val="148"/>
                <w:sz w:val="2"/>
              </w:rPr>
              <w:t> </w:t>
            </w:r>
            <w:r>
              <w:rPr>
                <w:spacing w:val="148"/>
                <w:sz w:val="2"/>
              </w:rPr>
              <mc:AlternateContent>
                <mc:Choice Requires="wps">
                  <w:drawing>
                    <wp:inline distT="0" distB="0" distL="0" distR="0">
                      <wp:extent cx="742950" cy="12700"/>
                      <wp:effectExtent l="0" t="0" r="0" b="0"/>
                      <wp:docPr id="45" name="Group 45"/>
                      <wp:cNvGraphicFramePr>
                        <a:graphicFrameLocks/>
                      </wp:cNvGraphicFramePr>
                      <a:graphic>
                        <a:graphicData uri="http://schemas.microsoft.com/office/word/2010/wordprocessingGroup">
                          <wpg:wgp>
                            <wpg:cNvPr id="45" name="Group 45"/>
                            <wpg:cNvGrpSpPr/>
                            <wpg:grpSpPr>
                              <a:xfrm>
                                <a:off x="0" y="0"/>
                                <a:ext cx="742950" cy="12700"/>
                                <a:chExt cx="742950" cy="12700"/>
                              </a:xfrm>
                            </wpg:grpSpPr>
                            <wps:wsp>
                              <wps:cNvPr id="46" name="Graphic 46"/>
                              <wps:cNvSpPr/>
                              <wps:spPr>
                                <a:xfrm>
                                  <a:off x="0" y="0"/>
                                  <a:ext cx="742950" cy="12700"/>
                                </a:xfrm>
                                <a:custGeom>
                                  <a:avLst/>
                                  <a:gdLst/>
                                  <a:ahLst/>
                                  <a:cxnLst/>
                                  <a:rect l="l" t="t" r="r" b="b"/>
                                  <a:pathLst>
                                    <a:path w="742950" h="12700">
                                      <a:moveTo>
                                        <a:pt x="742950" y="0"/>
                                      </a:moveTo>
                                      <a:lnTo>
                                        <a:pt x="0" y="0"/>
                                      </a:lnTo>
                                      <a:lnTo>
                                        <a:pt x="0" y="12192"/>
                                      </a:lnTo>
                                      <a:lnTo>
                                        <a:pt x="742950" y="12192"/>
                                      </a:lnTo>
                                      <a:lnTo>
                                        <a:pt x="7429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8.5pt;height:1pt;mso-position-horizontal-relative:char;mso-position-vertical-relative:line" id="docshapegroup45" coordorigin="0,0" coordsize="1170,20">
                      <v:rect style="position:absolute;left:0;top:0;width:1170;height:20" id="docshape46" filled="true" fillcolor="#000000" stroked="false">
                        <v:fill type="solid"/>
                      </v:rect>
                    </v:group>
                  </w:pict>
                </mc:Fallback>
              </mc:AlternateContent>
            </w:r>
            <w:r>
              <w:rPr>
                <w:spacing w:val="148"/>
                <w:sz w:val="2"/>
              </w:rPr>
            </w:r>
          </w:p>
          <w:p>
            <w:pPr>
              <w:pStyle w:val="TableParagraph"/>
              <w:tabs>
                <w:tab w:pos="1344" w:val="left" w:leader="none"/>
              </w:tabs>
              <w:ind w:left="28"/>
              <w:jc w:val="center"/>
              <w:rPr>
                <w:sz w:val="18"/>
              </w:rPr>
            </w:pPr>
            <w:r>
              <w:rPr>
                <w:spacing w:val="-10"/>
                <w:sz w:val="18"/>
              </w:rPr>
              <w:t>-</w:t>
            </w:r>
            <w:r>
              <w:rPr>
                <w:sz w:val="18"/>
              </w:rPr>
              <w:tab/>
            </w:r>
            <w:r>
              <w:rPr>
                <w:spacing w:val="-10"/>
                <w:sz w:val="18"/>
              </w:rPr>
              <w:t>1</w:t>
            </w:r>
          </w:p>
          <w:p>
            <w:pPr>
              <w:pStyle w:val="TableParagraph"/>
              <w:tabs>
                <w:tab w:pos="1345" w:val="left" w:leader="none"/>
              </w:tabs>
              <w:spacing w:line="207" w:lineRule="exact"/>
              <w:ind w:left="13"/>
              <w:jc w:val="center"/>
              <w:rPr>
                <w:sz w:val="18"/>
              </w:rPr>
            </w:pPr>
            <w:r>
              <w:rPr>
                <w:spacing w:val="-10"/>
                <w:sz w:val="18"/>
              </w:rPr>
              <w:t>-</w:t>
            </w:r>
            <w:r>
              <w:rPr>
                <w:sz w:val="18"/>
              </w:rPr>
              <w:tab/>
            </w:r>
            <w:r>
              <w:rPr>
                <w:spacing w:val="-10"/>
                <w:sz w:val="18"/>
              </w:rPr>
              <w:t>-</w:t>
            </w:r>
          </w:p>
          <w:p>
            <w:pPr>
              <w:pStyle w:val="TableParagraph"/>
              <w:tabs>
                <w:tab w:pos="567" w:val="left" w:leader="none"/>
                <w:tab w:pos="1181" w:val="left" w:leader="none"/>
                <w:tab w:pos="1884" w:val="left" w:leader="none"/>
                <w:tab w:pos="2514" w:val="left" w:leader="none"/>
              </w:tabs>
              <w:spacing w:line="201" w:lineRule="exact"/>
              <w:ind w:left="13"/>
              <w:jc w:val="center"/>
              <w:rPr>
                <w:sz w:val="18"/>
              </w:rPr>
            </w:pPr>
            <w:r>
              <w:rPr>
                <w:sz w:val="18"/>
                <w:u w:val="single"/>
              </w:rPr>
              <w:tab/>
            </w:r>
            <w:r>
              <w:rPr>
                <w:spacing w:val="-10"/>
                <w:sz w:val="18"/>
                <w:u w:val="single"/>
              </w:rPr>
              <w:t>-</w:t>
            </w:r>
            <w:r>
              <w:rPr>
                <w:sz w:val="18"/>
                <w:u w:val="single"/>
              </w:rPr>
              <w:tab/>
            </w:r>
            <w:r>
              <w:rPr>
                <w:spacing w:val="118"/>
                <w:sz w:val="18"/>
                <w:u w:val="none"/>
              </w:rPr>
              <w:t> </w:t>
            </w:r>
            <w:r>
              <w:rPr>
                <w:sz w:val="18"/>
                <w:u w:val="single"/>
              </w:rPr>
              <w:tab/>
            </w:r>
            <w:r>
              <w:rPr>
                <w:spacing w:val="-10"/>
                <w:sz w:val="18"/>
                <w:u w:val="single"/>
              </w:rPr>
              <w:t>1</w:t>
            </w:r>
            <w:r>
              <w:rPr>
                <w:sz w:val="18"/>
                <w:u w:val="single"/>
              </w:rPr>
              <w:tab/>
            </w:r>
          </w:p>
        </w:tc>
      </w:tr>
      <w:tr>
        <w:trPr>
          <w:trHeight w:val="213" w:hRule="atLeast"/>
        </w:trPr>
        <w:tc>
          <w:tcPr>
            <w:tcW w:w="1852" w:type="dxa"/>
          </w:tcPr>
          <w:p>
            <w:pPr>
              <w:pStyle w:val="TableParagraph"/>
              <w:rPr>
                <w:sz w:val="14"/>
              </w:rPr>
            </w:pPr>
          </w:p>
        </w:tc>
        <w:tc>
          <w:tcPr>
            <w:tcW w:w="372" w:type="dxa"/>
          </w:tcPr>
          <w:p>
            <w:pPr>
              <w:pStyle w:val="TableParagraph"/>
              <w:rPr>
                <w:sz w:val="14"/>
              </w:rPr>
            </w:pPr>
          </w:p>
        </w:tc>
        <w:tc>
          <w:tcPr>
            <w:tcW w:w="2555" w:type="dxa"/>
          </w:tcPr>
          <w:p>
            <w:pPr>
              <w:pStyle w:val="TableParagraph"/>
              <w:tabs>
                <w:tab w:pos="627" w:val="left" w:leader="none"/>
                <w:tab w:pos="1187" w:val="left" w:leader="none"/>
                <w:tab w:pos="1923" w:val="left" w:leader="none"/>
                <w:tab w:pos="2554" w:val="left" w:leader="none"/>
              </w:tabs>
              <w:spacing w:line="187" w:lineRule="exact" w:before="6"/>
              <w:ind w:left="-1"/>
              <w:rPr>
                <w:b/>
                <w:sz w:val="18"/>
              </w:rPr>
            </w:pPr>
            <w:r>
              <w:rPr>
                <w:b/>
                <w:sz w:val="18"/>
                <w:u w:val="double"/>
              </w:rPr>
              <w:tab/>
            </w:r>
            <w:r>
              <w:rPr>
                <w:b/>
                <w:spacing w:val="-10"/>
                <w:sz w:val="18"/>
                <w:u w:val="double"/>
              </w:rPr>
              <w:t>-</w:t>
            </w:r>
            <w:r>
              <w:rPr>
                <w:b/>
                <w:sz w:val="18"/>
                <w:u w:val="double"/>
              </w:rPr>
              <w:tab/>
            </w:r>
            <w:r>
              <w:rPr>
                <w:b/>
                <w:spacing w:val="80"/>
                <w:sz w:val="18"/>
                <w:u w:val="none"/>
              </w:rPr>
              <w:t> </w:t>
            </w:r>
            <w:r>
              <w:rPr>
                <w:b/>
                <w:sz w:val="18"/>
                <w:u w:val="double"/>
              </w:rPr>
              <w:tab/>
            </w:r>
            <w:r>
              <w:rPr>
                <w:b/>
                <w:spacing w:val="-10"/>
                <w:sz w:val="18"/>
                <w:u w:val="double"/>
              </w:rPr>
              <w:t>2</w:t>
            </w:r>
            <w:r>
              <w:rPr>
                <w:b/>
                <w:sz w:val="18"/>
                <w:u w:val="double"/>
              </w:rPr>
              <w:tab/>
            </w:r>
          </w:p>
        </w:tc>
        <w:tc>
          <w:tcPr>
            <w:tcW w:w="162" w:type="dxa"/>
          </w:tcPr>
          <w:p>
            <w:pPr>
              <w:pStyle w:val="TableParagraph"/>
              <w:rPr>
                <w:sz w:val="14"/>
              </w:rPr>
            </w:pPr>
          </w:p>
        </w:tc>
        <w:tc>
          <w:tcPr>
            <w:tcW w:w="2516" w:type="dxa"/>
          </w:tcPr>
          <w:p>
            <w:pPr>
              <w:pStyle w:val="TableParagraph"/>
              <w:tabs>
                <w:tab w:pos="627" w:val="left" w:leader="none"/>
                <w:tab w:pos="1182" w:val="left" w:leader="none"/>
                <w:tab w:pos="1885" w:val="left" w:leader="none"/>
                <w:tab w:pos="2515" w:val="left" w:leader="none"/>
              </w:tabs>
              <w:spacing w:line="187" w:lineRule="exact" w:before="6"/>
              <w:ind w:left="-1"/>
              <w:rPr>
                <w:b/>
                <w:sz w:val="18"/>
              </w:rPr>
            </w:pPr>
            <w:r>
              <w:rPr>
                <w:b/>
                <w:sz w:val="18"/>
                <w:u w:val="double"/>
              </w:rPr>
              <w:tab/>
            </w:r>
            <w:r>
              <w:rPr>
                <w:b/>
                <w:spacing w:val="-10"/>
                <w:sz w:val="18"/>
                <w:u w:val="double"/>
              </w:rPr>
              <w:t>0</w:t>
            </w:r>
            <w:r>
              <w:rPr>
                <w:b/>
                <w:sz w:val="18"/>
                <w:u w:val="double"/>
              </w:rPr>
              <w:tab/>
            </w:r>
            <w:r>
              <w:rPr>
                <w:b/>
                <w:spacing w:val="103"/>
                <w:sz w:val="18"/>
                <w:u w:val="none"/>
              </w:rPr>
              <w:t> </w:t>
            </w:r>
            <w:r>
              <w:rPr>
                <w:b/>
                <w:sz w:val="18"/>
                <w:u w:val="double"/>
              </w:rPr>
              <w:tab/>
            </w:r>
            <w:r>
              <w:rPr>
                <w:b/>
                <w:spacing w:val="-10"/>
                <w:sz w:val="18"/>
                <w:u w:val="double"/>
              </w:rPr>
              <w:t>2</w:t>
            </w:r>
            <w:r>
              <w:rPr>
                <w:b/>
                <w:sz w:val="18"/>
                <w:u w:val="double"/>
              </w:rPr>
              <w:tab/>
            </w:r>
          </w:p>
        </w:tc>
      </w:tr>
    </w:tbl>
    <w:p>
      <w:pPr>
        <w:pStyle w:val="BodyText"/>
        <w:spacing w:before="53"/>
      </w:pPr>
    </w:p>
    <w:p>
      <w:pPr>
        <w:pStyle w:val="BodyText"/>
        <w:spacing w:line="247" w:lineRule="auto"/>
        <w:ind w:left="995" w:right="841"/>
        <w:jc w:val="both"/>
      </w:pPr>
      <w:r>
        <w:rPr/>
        <w:t>El Consejo de Administración de la Sociedad está compuesto por 11 hombres y 1 mujer durante el ejercicio 2025 (misma composición en el ejercicio 2024).</w:t>
      </w:r>
    </w:p>
    <w:p>
      <w:pPr>
        <w:pStyle w:val="BodyText"/>
        <w:spacing w:before="5"/>
      </w:pPr>
    </w:p>
    <w:p>
      <w:pPr>
        <w:pStyle w:val="BodyText"/>
        <w:spacing w:line="247" w:lineRule="auto"/>
        <w:ind w:left="995" w:right="836"/>
        <w:jc w:val="both"/>
      </w:pPr>
      <w:r>
        <w:rPr/>
        <w:t>Los</w:t>
      </w:r>
      <w:r>
        <w:rPr>
          <w:spacing w:val="-7"/>
        </w:rPr>
        <w:t> </w:t>
      </w:r>
      <w:r>
        <w:rPr/>
        <w:t>honorarios</w:t>
      </w:r>
      <w:r>
        <w:rPr>
          <w:spacing w:val="-6"/>
        </w:rPr>
        <w:t> </w:t>
      </w:r>
      <w:r>
        <w:rPr/>
        <w:t>devengados</w:t>
      </w:r>
      <w:r>
        <w:rPr>
          <w:spacing w:val="-7"/>
        </w:rPr>
        <w:t> </w:t>
      </w:r>
      <w:r>
        <w:rPr/>
        <w:t>por</w:t>
      </w:r>
      <w:r>
        <w:rPr>
          <w:spacing w:val="-7"/>
        </w:rPr>
        <w:t> </w:t>
      </w:r>
      <w:r>
        <w:rPr/>
        <w:t>los</w:t>
      </w:r>
      <w:r>
        <w:rPr>
          <w:spacing w:val="-6"/>
        </w:rPr>
        <w:t> </w:t>
      </w:r>
      <w:r>
        <w:rPr/>
        <w:t>auditores</w:t>
      </w:r>
      <w:r>
        <w:rPr>
          <w:spacing w:val="-7"/>
        </w:rPr>
        <w:t> </w:t>
      </w:r>
      <w:r>
        <w:rPr/>
        <w:t>de</w:t>
      </w:r>
      <w:r>
        <w:rPr>
          <w:spacing w:val="-7"/>
        </w:rPr>
        <w:t> </w:t>
      </w:r>
      <w:r>
        <w:rPr/>
        <w:t>la</w:t>
      </w:r>
      <w:r>
        <w:rPr>
          <w:spacing w:val="-7"/>
        </w:rPr>
        <w:t> </w:t>
      </w:r>
      <w:r>
        <w:rPr/>
        <w:t>Sociedad</w:t>
      </w:r>
      <w:r>
        <w:rPr>
          <w:spacing w:val="-6"/>
        </w:rPr>
        <w:t> </w:t>
      </w:r>
      <w:r>
        <w:rPr/>
        <w:t>en</w:t>
      </w:r>
      <w:r>
        <w:rPr>
          <w:spacing w:val="-7"/>
        </w:rPr>
        <w:t> </w:t>
      </w:r>
      <w:r>
        <w:rPr/>
        <w:t>los</w:t>
      </w:r>
      <w:r>
        <w:rPr>
          <w:spacing w:val="-8"/>
        </w:rPr>
        <w:t> </w:t>
      </w:r>
      <w:r>
        <w:rPr/>
        <w:t>ejercicios</w:t>
      </w:r>
      <w:r>
        <w:rPr>
          <w:spacing w:val="-6"/>
        </w:rPr>
        <w:t> </w:t>
      </w:r>
      <w:r>
        <w:rPr/>
        <w:t>2025</w:t>
      </w:r>
      <w:r>
        <w:rPr>
          <w:spacing w:val="-6"/>
        </w:rPr>
        <w:t> </w:t>
      </w:r>
      <w:r>
        <w:rPr/>
        <w:t>y</w:t>
      </w:r>
      <w:r>
        <w:rPr>
          <w:spacing w:val="-8"/>
        </w:rPr>
        <w:t> </w:t>
      </w:r>
      <w:r>
        <w:rPr/>
        <w:t>2024</w:t>
      </w:r>
      <w:r>
        <w:rPr>
          <w:spacing w:val="-7"/>
        </w:rPr>
        <w:t> </w:t>
      </w:r>
      <w:r>
        <w:rPr/>
        <w:t>por</w:t>
      </w:r>
      <w:r>
        <w:rPr>
          <w:spacing w:val="-8"/>
        </w:rPr>
        <w:t> </w:t>
      </w:r>
      <w:r>
        <w:rPr/>
        <w:t>trabajos de auditoría de cuentas anuales abreviadas, han ascendido a 10.571,23 euros y 7.964,98 euros, </w:t>
      </w:r>
      <w:r>
        <w:rPr>
          <w:spacing w:val="-2"/>
        </w:rPr>
        <w:t>respectivamente.</w:t>
      </w:r>
    </w:p>
    <w:p>
      <w:pPr>
        <w:pStyle w:val="BodyText"/>
        <w:spacing w:before="9"/>
      </w:pPr>
    </w:p>
    <w:p>
      <w:pPr>
        <w:pStyle w:val="BodyText"/>
        <w:spacing w:line="247" w:lineRule="auto"/>
        <w:ind w:left="995" w:right="847"/>
        <w:jc w:val="both"/>
      </w:pPr>
      <w:r>
        <w:rPr/>
        <w:t>La Sociedad no ha recibido subvenciones</w:t>
      </w:r>
      <w:r>
        <w:rPr>
          <w:spacing w:val="-1"/>
        </w:rPr>
        <w:t> </w:t>
      </w:r>
      <w:r>
        <w:rPr/>
        <w:t>de ningún ente público</w:t>
      </w:r>
      <w:r>
        <w:rPr>
          <w:spacing w:val="-1"/>
        </w:rPr>
        <w:t> </w:t>
      </w:r>
      <w:r>
        <w:rPr/>
        <w:t>durante el ejercicio 2025.</w:t>
      </w:r>
      <w:r>
        <w:rPr>
          <w:spacing w:val="-1"/>
        </w:rPr>
        <w:t> </w:t>
      </w:r>
      <w:r>
        <w:rPr/>
        <w:t>Tampoco las recibió en el ejercicio 2024.</w:t>
      </w:r>
    </w:p>
    <w:p>
      <w:pPr>
        <w:pStyle w:val="BodyText"/>
        <w:spacing w:after="0" w:line="247" w:lineRule="auto"/>
        <w:jc w:val="both"/>
        <w:sectPr>
          <w:pgSz w:w="11910" w:h="16840"/>
          <w:pgMar w:header="694" w:footer="690" w:top="1920" w:bottom="880" w:left="708" w:right="425"/>
        </w:sectPr>
      </w:pPr>
    </w:p>
    <w:p>
      <w:pPr>
        <w:pStyle w:val="BodyText"/>
        <w:spacing w:before="187"/>
        <w:ind w:left="993"/>
        <w:jc w:val="both"/>
      </w:pPr>
      <w:r>
        <w:rPr/>
        <w:t>El</w:t>
      </w:r>
      <w:r>
        <w:rPr>
          <w:spacing w:val="-8"/>
        </w:rPr>
        <w:t> </w:t>
      </w:r>
      <w:r>
        <w:rPr/>
        <w:t>periodo</w:t>
      </w:r>
      <w:r>
        <w:rPr>
          <w:spacing w:val="-9"/>
        </w:rPr>
        <w:t> </w:t>
      </w:r>
      <w:r>
        <w:rPr/>
        <w:t>medio</w:t>
      </w:r>
      <w:r>
        <w:rPr>
          <w:spacing w:val="-8"/>
        </w:rPr>
        <w:t> </w:t>
      </w:r>
      <w:r>
        <w:rPr/>
        <w:t>de</w:t>
      </w:r>
      <w:r>
        <w:rPr>
          <w:spacing w:val="-10"/>
        </w:rPr>
        <w:t> </w:t>
      </w:r>
      <w:r>
        <w:rPr/>
        <w:t>pago</w:t>
      </w:r>
      <w:r>
        <w:rPr>
          <w:spacing w:val="-10"/>
        </w:rPr>
        <w:t> </w:t>
      </w:r>
      <w:r>
        <w:rPr/>
        <w:t>a</w:t>
      </w:r>
      <w:r>
        <w:rPr>
          <w:spacing w:val="-9"/>
        </w:rPr>
        <w:t> </w:t>
      </w:r>
      <w:r>
        <w:rPr/>
        <w:t>proveedores</w:t>
      </w:r>
      <w:r>
        <w:rPr>
          <w:spacing w:val="-9"/>
        </w:rPr>
        <w:t> </w:t>
      </w:r>
      <w:r>
        <w:rPr/>
        <w:t>para</w:t>
      </w:r>
      <w:r>
        <w:rPr>
          <w:spacing w:val="-8"/>
        </w:rPr>
        <w:t> </w:t>
      </w:r>
      <w:r>
        <w:rPr/>
        <w:t>el</w:t>
      </w:r>
      <w:r>
        <w:rPr>
          <w:spacing w:val="-9"/>
        </w:rPr>
        <w:t> </w:t>
      </w:r>
      <w:r>
        <w:rPr/>
        <w:t>ejercicio</w:t>
      </w:r>
      <w:r>
        <w:rPr>
          <w:spacing w:val="-8"/>
        </w:rPr>
        <w:t> </w:t>
      </w:r>
      <w:r>
        <w:rPr/>
        <w:t>2025</w:t>
      </w:r>
      <w:r>
        <w:rPr>
          <w:spacing w:val="-9"/>
        </w:rPr>
        <w:t> </w:t>
      </w:r>
      <w:r>
        <w:rPr/>
        <w:t>y</w:t>
      </w:r>
      <w:r>
        <w:rPr>
          <w:spacing w:val="-9"/>
        </w:rPr>
        <w:t> </w:t>
      </w:r>
      <w:r>
        <w:rPr/>
        <w:t>2024,</w:t>
      </w:r>
      <w:r>
        <w:rPr>
          <w:spacing w:val="-10"/>
        </w:rPr>
        <w:t> </w:t>
      </w:r>
      <w:r>
        <w:rPr/>
        <w:t>calculado</w:t>
      </w:r>
      <w:r>
        <w:rPr>
          <w:spacing w:val="-9"/>
        </w:rPr>
        <w:t> </w:t>
      </w:r>
      <w:r>
        <w:rPr/>
        <w:t>según</w:t>
      </w:r>
      <w:r>
        <w:rPr>
          <w:spacing w:val="-8"/>
        </w:rPr>
        <w:t> </w:t>
      </w:r>
      <w:r>
        <w:rPr/>
        <w:t>la</w:t>
      </w:r>
      <w:r>
        <w:rPr>
          <w:spacing w:val="-8"/>
        </w:rPr>
        <w:t> </w:t>
      </w:r>
      <w:r>
        <w:rPr>
          <w:spacing w:val="-2"/>
        </w:rPr>
        <w:t>Disposición</w:t>
      </w:r>
    </w:p>
    <w:p>
      <w:pPr>
        <w:pStyle w:val="BodyText"/>
        <w:spacing w:before="7"/>
        <w:ind w:left="993"/>
        <w:jc w:val="both"/>
      </w:pPr>
      <w:r>
        <w:rPr/>
        <w:t>adicional</w:t>
      </w:r>
      <w:r>
        <w:rPr>
          <w:spacing w:val="-5"/>
        </w:rPr>
        <w:t> </w:t>
      </w:r>
      <w:r>
        <w:rPr/>
        <w:t>tercera</w:t>
      </w:r>
      <w:r>
        <w:rPr>
          <w:spacing w:val="-6"/>
        </w:rPr>
        <w:t> </w:t>
      </w:r>
      <w:r>
        <w:rPr/>
        <w:t>“Deber</w:t>
      </w:r>
      <w:r>
        <w:rPr>
          <w:spacing w:val="-6"/>
        </w:rPr>
        <w:t> </w:t>
      </w:r>
      <w:r>
        <w:rPr/>
        <w:t>de</w:t>
      </w:r>
      <w:r>
        <w:rPr>
          <w:spacing w:val="-5"/>
        </w:rPr>
        <w:t> </w:t>
      </w:r>
      <w:r>
        <w:rPr/>
        <w:t>información”</w:t>
      </w:r>
      <w:r>
        <w:rPr>
          <w:spacing w:val="-6"/>
        </w:rPr>
        <w:t> </w:t>
      </w:r>
      <w:r>
        <w:rPr/>
        <w:t>de</w:t>
      </w:r>
      <w:r>
        <w:rPr>
          <w:spacing w:val="-6"/>
        </w:rPr>
        <w:t> </w:t>
      </w:r>
      <w:r>
        <w:rPr/>
        <w:t>la</w:t>
      </w:r>
      <w:r>
        <w:rPr>
          <w:spacing w:val="-6"/>
        </w:rPr>
        <w:t> </w:t>
      </w:r>
      <w:r>
        <w:rPr/>
        <w:t>Ley</w:t>
      </w:r>
      <w:r>
        <w:rPr>
          <w:spacing w:val="-5"/>
        </w:rPr>
        <w:t> </w:t>
      </w:r>
      <w:r>
        <w:rPr/>
        <w:t>15/2010</w:t>
      </w:r>
      <w:r>
        <w:rPr>
          <w:spacing w:val="-6"/>
        </w:rPr>
        <w:t> </w:t>
      </w:r>
      <w:r>
        <w:rPr/>
        <w:t>de</w:t>
      </w:r>
      <w:r>
        <w:rPr>
          <w:spacing w:val="-5"/>
        </w:rPr>
        <w:t> </w:t>
      </w:r>
      <w:r>
        <w:rPr/>
        <w:t>5</w:t>
      </w:r>
      <w:r>
        <w:rPr>
          <w:spacing w:val="-5"/>
        </w:rPr>
        <w:t> </w:t>
      </w:r>
      <w:r>
        <w:rPr/>
        <w:t>de</w:t>
      </w:r>
      <w:r>
        <w:rPr>
          <w:spacing w:val="-6"/>
        </w:rPr>
        <w:t> </w:t>
      </w:r>
      <w:r>
        <w:rPr>
          <w:spacing w:val="-2"/>
        </w:rPr>
        <w:t>julio:</w:t>
      </w:r>
    </w:p>
    <w:p>
      <w:pPr>
        <w:pStyle w:val="BodyText"/>
        <w:spacing w:before="31"/>
        <w:rPr>
          <w:sz w:val="20"/>
        </w:rPr>
      </w:pPr>
    </w:p>
    <w:tbl>
      <w:tblPr>
        <w:tblW w:w="0" w:type="auto"/>
        <w:jc w:val="left"/>
        <w:tblInd w:w="2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21"/>
        <w:gridCol w:w="1200"/>
        <w:gridCol w:w="1200"/>
      </w:tblGrid>
      <w:tr>
        <w:trPr>
          <w:trHeight w:val="227" w:hRule="atLeast"/>
        </w:trPr>
        <w:tc>
          <w:tcPr>
            <w:tcW w:w="2721" w:type="dxa"/>
            <w:tcBorders>
              <w:top w:val="nil"/>
              <w:left w:val="nil"/>
            </w:tcBorders>
          </w:tcPr>
          <w:p>
            <w:pPr>
              <w:pStyle w:val="TableParagraph"/>
              <w:rPr>
                <w:sz w:val="16"/>
              </w:rPr>
            </w:pPr>
          </w:p>
        </w:tc>
        <w:tc>
          <w:tcPr>
            <w:tcW w:w="1200" w:type="dxa"/>
          </w:tcPr>
          <w:p>
            <w:pPr>
              <w:pStyle w:val="TableParagraph"/>
              <w:spacing w:before="22"/>
              <w:ind w:right="59"/>
              <w:jc w:val="right"/>
              <w:rPr>
                <w:b/>
                <w:sz w:val="16"/>
              </w:rPr>
            </w:pPr>
            <w:r>
              <w:rPr>
                <w:b/>
                <w:spacing w:val="-4"/>
                <w:sz w:val="16"/>
              </w:rPr>
              <w:t>2025</w:t>
            </w:r>
          </w:p>
        </w:tc>
        <w:tc>
          <w:tcPr>
            <w:tcW w:w="1200" w:type="dxa"/>
          </w:tcPr>
          <w:p>
            <w:pPr>
              <w:pStyle w:val="TableParagraph"/>
              <w:spacing w:line="165" w:lineRule="exact" w:before="42"/>
              <w:ind w:right="59"/>
              <w:jc w:val="right"/>
              <w:rPr>
                <w:b/>
                <w:sz w:val="16"/>
              </w:rPr>
            </w:pPr>
            <w:r>
              <w:rPr>
                <w:b/>
                <w:spacing w:val="-4"/>
                <w:sz w:val="16"/>
              </w:rPr>
              <w:t>2024</w:t>
            </w:r>
          </w:p>
        </w:tc>
      </w:tr>
      <w:tr>
        <w:trPr>
          <w:trHeight w:val="226" w:hRule="atLeast"/>
        </w:trPr>
        <w:tc>
          <w:tcPr>
            <w:tcW w:w="2721" w:type="dxa"/>
          </w:tcPr>
          <w:p>
            <w:pPr>
              <w:pStyle w:val="TableParagraph"/>
              <w:spacing w:before="21"/>
              <w:ind w:left="69"/>
              <w:rPr>
                <w:sz w:val="16"/>
              </w:rPr>
            </w:pPr>
            <w:r>
              <w:rPr>
                <w:sz w:val="16"/>
              </w:rPr>
              <w:t>Periodo</w:t>
            </w:r>
            <w:r>
              <w:rPr>
                <w:spacing w:val="-4"/>
                <w:sz w:val="16"/>
              </w:rPr>
              <w:t> </w:t>
            </w:r>
            <w:r>
              <w:rPr>
                <w:sz w:val="16"/>
              </w:rPr>
              <w:t>medio</w:t>
            </w:r>
            <w:r>
              <w:rPr>
                <w:spacing w:val="-3"/>
                <w:sz w:val="16"/>
              </w:rPr>
              <w:t> </w:t>
            </w:r>
            <w:r>
              <w:rPr>
                <w:sz w:val="16"/>
              </w:rPr>
              <w:t>de</w:t>
            </w:r>
            <w:r>
              <w:rPr>
                <w:spacing w:val="-3"/>
                <w:sz w:val="16"/>
              </w:rPr>
              <w:t> </w:t>
            </w:r>
            <w:r>
              <w:rPr>
                <w:sz w:val="16"/>
              </w:rPr>
              <w:t>pago</w:t>
            </w:r>
            <w:r>
              <w:rPr>
                <w:spacing w:val="-3"/>
                <w:sz w:val="16"/>
              </w:rPr>
              <w:t> </w:t>
            </w:r>
            <w:r>
              <w:rPr>
                <w:sz w:val="16"/>
              </w:rPr>
              <w:t>a</w:t>
            </w:r>
            <w:r>
              <w:rPr>
                <w:spacing w:val="-4"/>
                <w:sz w:val="16"/>
              </w:rPr>
              <w:t> </w:t>
            </w:r>
            <w:r>
              <w:rPr>
                <w:spacing w:val="-2"/>
                <w:sz w:val="16"/>
              </w:rPr>
              <w:t>proveedores</w:t>
            </w:r>
          </w:p>
        </w:tc>
        <w:tc>
          <w:tcPr>
            <w:tcW w:w="1200" w:type="dxa"/>
          </w:tcPr>
          <w:p>
            <w:pPr>
              <w:pStyle w:val="TableParagraph"/>
              <w:spacing w:before="21"/>
              <w:ind w:right="58"/>
              <w:jc w:val="right"/>
              <w:rPr>
                <w:sz w:val="16"/>
              </w:rPr>
            </w:pPr>
            <w:r>
              <w:rPr>
                <w:spacing w:val="-2"/>
                <w:sz w:val="16"/>
              </w:rPr>
              <w:t>15,65</w:t>
            </w:r>
          </w:p>
        </w:tc>
        <w:tc>
          <w:tcPr>
            <w:tcW w:w="1200" w:type="dxa"/>
          </w:tcPr>
          <w:p>
            <w:pPr>
              <w:pStyle w:val="TableParagraph"/>
              <w:spacing w:before="21"/>
              <w:ind w:right="58"/>
              <w:jc w:val="right"/>
              <w:rPr>
                <w:sz w:val="16"/>
              </w:rPr>
            </w:pPr>
            <w:r>
              <w:rPr>
                <w:spacing w:val="-2"/>
                <w:sz w:val="16"/>
              </w:rPr>
              <w:t>128,29</w:t>
            </w:r>
          </w:p>
        </w:tc>
      </w:tr>
      <w:tr>
        <w:trPr>
          <w:trHeight w:val="227" w:hRule="atLeast"/>
        </w:trPr>
        <w:tc>
          <w:tcPr>
            <w:tcW w:w="2721" w:type="dxa"/>
          </w:tcPr>
          <w:p>
            <w:pPr>
              <w:pStyle w:val="TableParagraph"/>
              <w:spacing w:before="22"/>
              <w:ind w:left="7"/>
              <w:jc w:val="center"/>
              <w:rPr>
                <w:b/>
                <w:sz w:val="16"/>
              </w:rPr>
            </w:pPr>
            <w:r>
              <w:rPr>
                <w:b/>
                <w:spacing w:val="-2"/>
                <w:sz w:val="16"/>
              </w:rPr>
              <w:t>Total</w:t>
            </w:r>
          </w:p>
        </w:tc>
        <w:tc>
          <w:tcPr>
            <w:tcW w:w="1200" w:type="dxa"/>
          </w:tcPr>
          <w:p>
            <w:pPr>
              <w:pStyle w:val="TableParagraph"/>
              <w:spacing w:before="22"/>
              <w:ind w:right="58"/>
              <w:jc w:val="right"/>
              <w:rPr>
                <w:b/>
                <w:sz w:val="16"/>
              </w:rPr>
            </w:pPr>
            <w:r>
              <w:rPr>
                <w:b/>
                <w:spacing w:val="-2"/>
                <w:sz w:val="16"/>
              </w:rPr>
              <w:t>15,65</w:t>
            </w:r>
          </w:p>
        </w:tc>
        <w:tc>
          <w:tcPr>
            <w:tcW w:w="1200" w:type="dxa"/>
          </w:tcPr>
          <w:p>
            <w:pPr>
              <w:pStyle w:val="TableParagraph"/>
              <w:spacing w:before="22"/>
              <w:ind w:right="58"/>
              <w:jc w:val="right"/>
              <w:rPr>
                <w:b/>
                <w:sz w:val="16"/>
              </w:rPr>
            </w:pPr>
            <w:r>
              <w:rPr>
                <w:b/>
                <w:spacing w:val="-2"/>
                <w:sz w:val="16"/>
              </w:rPr>
              <w:t>128,29</w:t>
            </w:r>
          </w:p>
        </w:tc>
      </w:tr>
    </w:tbl>
    <w:p>
      <w:pPr>
        <w:pStyle w:val="BodyText"/>
        <w:spacing w:before="3"/>
      </w:pPr>
    </w:p>
    <w:p>
      <w:pPr>
        <w:pStyle w:val="BodyText"/>
        <w:spacing w:line="247" w:lineRule="auto"/>
        <w:ind w:left="995" w:right="837"/>
        <w:jc w:val="both"/>
      </w:pPr>
      <w:r>
        <w:rPr/>
        <w:t>Para el cálculo no se han incluido las periodificaciones registradas al cierre del ejercicio 2025 por importe de 509.636,79 euros. Tampoco las registradas al cierre del ejercicio 2024 por importe de 421.938,80</w:t>
      </w:r>
      <w:r>
        <w:rPr>
          <w:spacing w:val="-14"/>
        </w:rPr>
        <w:t> </w:t>
      </w:r>
      <w:r>
        <w:rPr/>
        <w:t>euros.</w:t>
      </w:r>
      <w:r>
        <w:rPr>
          <w:spacing w:val="-14"/>
        </w:rPr>
        <w:t> </w:t>
      </w:r>
      <w:r>
        <w:rPr/>
        <w:t>La</w:t>
      </w:r>
      <w:r>
        <w:rPr>
          <w:spacing w:val="-14"/>
        </w:rPr>
        <w:t> </w:t>
      </w:r>
      <w:r>
        <w:rPr/>
        <w:t>Sociedad</w:t>
      </w:r>
      <w:r>
        <w:rPr>
          <w:spacing w:val="-13"/>
        </w:rPr>
        <w:t> </w:t>
      </w:r>
      <w:r>
        <w:rPr/>
        <w:t>presenta</w:t>
      </w:r>
      <w:r>
        <w:rPr>
          <w:spacing w:val="-14"/>
        </w:rPr>
        <w:t> </w:t>
      </w:r>
      <w:r>
        <w:rPr/>
        <w:t>en</w:t>
      </w:r>
      <w:r>
        <w:rPr>
          <w:spacing w:val="-14"/>
        </w:rPr>
        <w:t> </w:t>
      </w:r>
      <w:r>
        <w:rPr/>
        <w:t>el</w:t>
      </w:r>
      <w:r>
        <w:rPr>
          <w:spacing w:val="-14"/>
        </w:rPr>
        <w:t> </w:t>
      </w:r>
      <w:r>
        <w:rPr/>
        <w:t>ejercicio</w:t>
      </w:r>
      <w:r>
        <w:rPr>
          <w:spacing w:val="-13"/>
        </w:rPr>
        <w:t> </w:t>
      </w:r>
      <w:r>
        <w:rPr/>
        <w:t>un</w:t>
      </w:r>
      <w:r>
        <w:rPr>
          <w:spacing w:val="-14"/>
        </w:rPr>
        <w:t> </w:t>
      </w:r>
      <w:r>
        <w:rPr/>
        <w:t>periodo</w:t>
      </w:r>
      <w:r>
        <w:rPr>
          <w:spacing w:val="-14"/>
        </w:rPr>
        <w:t> </w:t>
      </w:r>
      <w:r>
        <w:rPr/>
        <w:t>medio</w:t>
      </w:r>
      <w:r>
        <w:rPr>
          <w:spacing w:val="-14"/>
        </w:rPr>
        <w:t> </w:t>
      </w:r>
      <w:r>
        <w:rPr/>
        <w:t>de</w:t>
      </w:r>
      <w:r>
        <w:rPr>
          <w:spacing w:val="-13"/>
        </w:rPr>
        <w:t> </w:t>
      </w:r>
      <w:r>
        <w:rPr/>
        <w:t>pago</w:t>
      </w:r>
      <w:r>
        <w:rPr>
          <w:spacing w:val="-14"/>
        </w:rPr>
        <w:t> </w:t>
      </w:r>
      <w:r>
        <w:rPr/>
        <w:t>inferior</w:t>
      </w:r>
      <w:r>
        <w:rPr>
          <w:spacing w:val="-14"/>
        </w:rPr>
        <w:t> </w:t>
      </w:r>
      <w:r>
        <w:rPr/>
        <w:t>al</w:t>
      </w:r>
      <w:r>
        <w:rPr>
          <w:spacing w:val="-14"/>
        </w:rPr>
        <w:t> </w:t>
      </w:r>
      <w:r>
        <w:rPr/>
        <w:t>establecido en las disposiciones legales que le son de aplicación. En el ejercicio 2024 la Sociedad presentó un periodo medio de pago excedido con lo establecido en las disposiciones legales que le son de aplicación, si bien no se aplicó a la totalidad de las operaciones del ejercicio.</w:t>
      </w:r>
    </w:p>
    <w:p>
      <w:pPr>
        <w:pStyle w:val="BodyText"/>
      </w:pPr>
    </w:p>
    <w:p>
      <w:pPr>
        <w:pStyle w:val="BodyText"/>
        <w:spacing w:before="20"/>
      </w:pPr>
    </w:p>
    <w:p>
      <w:pPr>
        <w:pStyle w:val="Heading1"/>
        <w:numPr>
          <w:ilvl w:val="0"/>
          <w:numId w:val="11"/>
        </w:numPr>
        <w:tabs>
          <w:tab w:pos="708" w:val="left" w:leader="none"/>
        </w:tabs>
        <w:spacing w:line="240" w:lineRule="auto" w:before="0" w:after="0"/>
        <w:ind w:left="708" w:right="0" w:hanging="358"/>
        <w:jc w:val="left"/>
      </w:pPr>
      <w:r>
        <w:rPr/>
        <w:t>Hechos</w:t>
      </w:r>
      <w:r>
        <w:rPr>
          <w:spacing w:val="-11"/>
        </w:rPr>
        <w:t> </w:t>
      </w:r>
      <w:r>
        <w:rPr>
          <w:spacing w:val="-2"/>
        </w:rPr>
        <w:t>posteriores</w:t>
      </w:r>
    </w:p>
    <w:p>
      <w:pPr>
        <w:pStyle w:val="BodyText"/>
        <w:spacing w:before="16"/>
        <w:rPr>
          <w:b/>
        </w:rPr>
      </w:pPr>
    </w:p>
    <w:p>
      <w:pPr>
        <w:pStyle w:val="BodyText"/>
        <w:spacing w:line="247" w:lineRule="auto"/>
        <w:ind w:left="995" w:right="820"/>
        <w:jc w:val="both"/>
      </w:pPr>
      <w:r>
        <w:rPr/>
        <w:t>A fecha de formulación de estas cuentas anuales abreviadas, no se han producido otros hechos significativos posteriores al cierre del ejercicio susceptibles de modificar las mismas o ser objeto de información adicional en las presentes cuentas anuales abreviadas.</w:t>
      </w:r>
    </w:p>
    <w:p>
      <w:pPr>
        <w:pStyle w:val="BodyText"/>
        <w:spacing w:after="0" w:line="247" w:lineRule="auto"/>
        <w:jc w:val="both"/>
        <w:sectPr>
          <w:pgSz w:w="11910" w:h="16840"/>
          <w:pgMar w:header="694" w:footer="690" w:top="1920" w:bottom="880" w:left="708" w:right="425"/>
        </w:sectPr>
      </w:pPr>
    </w:p>
    <w:p>
      <w:pPr>
        <w:spacing w:line="244" w:lineRule="auto" w:before="187"/>
        <w:ind w:left="3131" w:right="2698" w:hanging="741"/>
        <w:jc w:val="left"/>
        <w:rPr>
          <w:b/>
          <w:sz w:val="22"/>
        </w:rPr>
      </w:pPr>
      <w:r>
        <w:rPr>
          <w:b/>
          <w:spacing w:val="-2"/>
          <w:sz w:val="22"/>
          <w:u w:val="single"/>
        </w:rPr>
        <w:t>FORMULACIÓN</w:t>
      </w:r>
      <w:r>
        <w:rPr>
          <w:b/>
          <w:spacing w:val="-14"/>
          <w:sz w:val="22"/>
          <w:u w:val="single"/>
        </w:rPr>
        <w:t> </w:t>
      </w:r>
      <w:r>
        <w:rPr>
          <w:b/>
          <w:spacing w:val="-2"/>
          <w:sz w:val="22"/>
          <w:u w:val="single"/>
        </w:rPr>
        <w:t>DE</w:t>
      </w:r>
      <w:r>
        <w:rPr>
          <w:b/>
          <w:spacing w:val="-13"/>
          <w:sz w:val="22"/>
          <w:u w:val="single"/>
        </w:rPr>
        <w:t> </w:t>
      </w:r>
      <w:r>
        <w:rPr>
          <w:b/>
          <w:spacing w:val="-2"/>
          <w:sz w:val="22"/>
          <w:u w:val="single"/>
        </w:rPr>
        <w:t>CUENTAS</w:t>
      </w:r>
      <w:r>
        <w:rPr>
          <w:b/>
          <w:spacing w:val="-12"/>
          <w:sz w:val="22"/>
          <w:u w:val="single"/>
        </w:rPr>
        <w:t> </w:t>
      </w:r>
      <w:r>
        <w:rPr>
          <w:b/>
          <w:spacing w:val="-2"/>
          <w:sz w:val="22"/>
          <w:u w:val="single"/>
        </w:rPr>
        <w:t>ANUALES</w:t>
      </w:r>
      <w:r>
        <w:rPr>
          <w:b/>
          <w:spacing w:val="-13"/>
          <w:sz w:val="22"/>
          <w:u w:val="single"/>
        </w:rPr>
        <w:t> </w:t>
      </w:r>
      <w:r>
        <w:rPr>
          <w:b/>
          <w:spacing w:val="-2"/>
          <w:sz w:val="22"/>
          <w:u w:val="single"/>
        </w:rPr>
        <w:t>ABREVIADAS</w:t>
      </w:r>
      <w:r>
        <w:rPr>
          <w:b/>
          <w:spacing w:val="-2"/>
          <w:sz w:val="22"/>
          <w:u w:val="none"/>
        </w:rPr>
        <w:t> </w:t>
      </w:r>
      <w:r>
        <w:rPr>
          <w:b/>
          <w:sz w:val="22"/>
          <w:u w:val="single"/>
        </w:rPr>
        <w:t>POR EL ÓRGANO DE ADMINISTRACIÓN</w:t>
      </w:r>
    </w:p>
    <w:p>
      <w:pPr>
        <w:pStyle w:val="BodyText"/>
        <w:rPr>
          <w:b/>
        </w:rPr>
      </w:pPr>
    </w:p>
    <w:p>
      <w:pPr>
        <w:pStyle w:val="BodyText"/>
        <w:spacing w:before="14"/>
        <w:rPr>
          <w:b/>
        </w:rPr>
      </w:pPr>
    </w:p>
    <w:p>
      <w:pPr>
        <w:pStyle w:val="BodyText"/>
        <w:spacing w:line="247" w:lineRule="auto"/>
        <w:ind w:left="710" w:right="981"/>
        <w:jc w:val="both"/>
      </w:pPr>
      <w:r>
        <w:rPr/>
        <w:t>En cumplimiento de lo dispuesto por la legislación vigente, los Administradores de MURCIA ALTA VELOCIDAD, S.A. han formulado las cuentas anuales abreviadas (balance abreviado, cuenta de pérdidas</w:t>
      </w:r>
      <w:r>
        <w:rPr>
          <w:spacing w:val="-10"/>
        </w:rPr>
        <w:t> </w:t>
      </w:r>
      <w:r>
        <w:rPr/>
        <w:t>y</w:t>
      </w:r>
      <w:r>
        <w:rPr>
          <w:spacing w:val="-10"/>
        </w:rPr>
        <w:t> </w:t>
      </w:r>
      <w:r>
        <w:rPr/>
        <w:t>ganancias</w:t>
      </w:r>
      <w:r>
        <w:rPr>
          <w:spacing w:val="-10"/>
        </w:rPr>
        <w:t> </w:t>
      </w:r>
      <w:r>
        <w:rPr/>
        <w:t>abreviada</w:t>
      </w:r>
      <w:r>
        <w:rPr>
          <w:spacing w:val="-9"/>
        </w:rPr>
        <w:t> </w:t>
      </w:r>
      <w:r>
        <w:rPr/>
        <w:t>y</w:t>
      </w:r>
      <w:r>
        <w:rPr>
          <w:spacing w:val="-10"/>
        </w:rPr>
        <w:t> </w:t>
      </w:r>
      <w:r>
        <w:rPr/>
        <w:t>memoria</w:t>
      </w:r>
      <w:r>
        <w:rPr>
          <w:spacing w:val="-9"/>
        </w:rPr>
        <w:t> </w:t>
      </w:r>
      <w:r>
        <w:rPr/>
        <w:t>abreviada)</w:t>
      </w:r>
      <w:r>
        <w:rPr>
          <w:spacing w:val="-9"/>
        </w:rPr>
        <w:t> </w:t>
      </w:r>
      <w:r>
        <w:rPr/>
        <w:t>de</w:t>
      </w:r>
      <w:r>
        <w:rPr>
          <w:spacing w:val="-11"/>
        </w:rPr>
        <w:t> </w:t>
      </w:r>
      <w:r>
        <w:rPr/>
        <w:t>la</w:t>
      </w:r>
      <w:r>
        <w:rPr>
          <w:spacing w:val="-10"/>
        </w:rPr>
        <w:t> </w:t>
      </w:r>
      <w:r>
        <w:rPr/>
        <w:t>Sociedad</w:t>
      </w:r>
      <w:r>
        <w:rPr>
          <w:spacing w:val="-10"/>
        </w:rPr>
        <w:t> </w:t>
      </w:r>
      <w:r>
        <w:rPr/>
        <w:t>correspondientes</w:t>
      </w:r>
      <w:r>
        <w:rPr>
          <w:spacing w:val="-9"/>
        </w:rPr>
        <w:t> </w:t>
      </w:r>
      <w:r>
        <w:rPr/>
        <w:t>al</w:t>
      </w:r>
      <w:r>
        <w:rPr>
          <w:spacing w:val="-9"/>
        </w:rPr>
        <w:t> </w:t>
      </w:r>
      <w:r>
        <w:rPr/>
        <w:t>ejercicio</w:t>
      </w:r>
      <w:r>
        <w:rPr>
          <w:spacing w:val="-10"/>
        </w:rPr>
        <w:t> </w:t>
      </w:r>
      <w:r>
        <w:rPr/>
        <w:t>anual terminado el 31 de diciembre de 2025, que se extiende en las páginas números 1 a 38.</w:t>
      </w:r>
    </w:p>
    <w:p>
      <w:pPr>
        <w:pStyle w:val="BodyText"/>
      </w:pPr>
    </w:p>
    <w:p>
      <w:pPr>
        <w:pStyle w:val="BodyText"/>
      </w:pPr>
    </w:p>
    <w:p>
      <w:pPr>
        <w:pStyle w:val="BodyText"/>
      </w:pPr>
    </w:p>
    <w:p>
      <w:pPr>
        <w:pStyle w:val="BodyText"/>
        <w:spacing w:before="27"/>
      </w:pPr>
    </w:p>
    <w:p>
      <w:pPr>
        <w:pStyle w:val="BodyText"/>
        <w:ind w:right="981"/>
        <w:jc w:val="right"/>
      </w:pPr>
      <w:r>
        <w:rPr>
          <w:spacing w:val="-2"/>
        </w:rPr>
        <w:t>Murcia,</w:t>
      </w:r>
      <w:r>
        <w:rPr>
          <w:spacing w:val="-7"/>
        </w:rPr>
        <w:t> </w:t>
      </w:r>
      <w:r>
        <w:rPr>
          <w:spacing w:val="-2"/>
        </w:rPr>
        <w:t>19</w:t>
      </w:r>
      <w:r>
        <w:rPr>
          <w:spacing w:val="-10"/>
        </w:rPr>
        <w:t> </w:t>
      </w:r>
      <w:r>
        <w:rPr>
          <w:spacing w:val="-2"/>
        </w:rPr>
        <w:t>de</w:t>
      </w:r>
      <w:r>
        <w:rPr>
          <w:spacing w:val="-10"/>
        </w:rPr>
        <w:t> </w:t>
      </w:r>
      <w:r>
        <w:rPr>
          <w:spacing w:val="-2"/>
        </w:rPr>
        <w:t>marzo</w:t>
      </w:r>
      <w:r>
        <w:rPr>
          <w:spacing w:val="-10"/>
        </w:rPr>
        <w:t> </w:t>
      </w:r>
      <w:r>
        <w:rPr>
          <w:spacing w:val="-2"/>
        </w:rPr>
        <w:t>de</w:t>
      </w:r>
      <w:r>
        <w:rPr>
          <w:spacing w:val="-6"/>
        </w:rPr>
        <w:t> </w:t>
      </w:r>
      <w:r>
        <w:rPr>
          <w:spacing w:val="-4"/>
        </w:rPr>
        <w:t>2026</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9"/>
        <w:rPr>
          <w:sz w:val="20"/>
        </w:rPr>
      </w:pPr>
      <w:r>
        <w:rPr>
          <w:sz w:val="20"/>
        </w:rPr>
        <mc:AlternateContent>
          <mc:Choice Requires="wps">
            <w:drawing>
              <wp:anchor distT="0" distB="0" distL="0" distR="0" allowOverlap="1" layoutInCell="1" locked="0" behindDoc="1" simplePos="0" relativeHeight="487599104">
                <wp:simplePos x="0" y="0"/>
                <wp:positionH relativeFrom="page">
                  <wp:posOffset>1357630</wp:posOffset>
                </wp:positionH>
                <wp:positionV relativeFrom="paragraph">
                  <wp:posOffset>237414</wp:posOffset>
                </wp:positionV>
                <wp:extent cx="2469515"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2469515" cy="1270"/>
                        </a:xfrm>
                        <a:custGeom>
                          <a:avLst/>
                          <a:gdLst/>
                          <a:ahLst/>
                          <a:cxnLst/>
                          <a:rect l="l" t="t" r="r" b="b"/>
                          <a:pathLst>
                            <a:path w="2469515" h="0">
                              <a:moveTo>
                                <a:pt x="0" y="0"/>
                              </a:moveTo>
                              <a:lnTo>
                                <a:pt x="2469260"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6.900002pt;margin-top:18.694042pt;width:194.45pt;height:.1pt;mso-position-horizontal-relative:page;mso-position-vertical-relative:paragraph;z-index:-15717376;mso-wrap-distance-left:0;mso-wrap-distance-right:0" id="docshape47" coordorigin="2138,374" coordsize="3889,0" path="m2138,374l6027,374e" filled="false" stroked="true" strokeweight=".44157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9616">
                <wp:simplePos x="0" y="0"/>
                <wp:positionH relativeFrom="page">
                  <wp:posOffset>4115434</wp:posOffset>
                </wp:positionH>
                <wp:positionV relativeFrom="paragraph">
                  <wp:posOffset>237414</wp:posOffset>
                </wp:positionV>
                <wp:extent cx="2195195"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2195195" cy="1270"/>
                        </a:xfrm>
                        <a:custGeom>
                          <a:avLst/>
                          <a:gdLst/>
                          <a:ahLst/>
                          <a:cxnLst/>
                          <a:rect l="l" t="t" r="r" b="b"/>
                          <a:pathLst>
                            <a:path w="2195195" h="0">
                              <a:moveTo>
                                <a:pt x="0" y="0"/>
                              </a:moveTo>
                              <a:lnTo>
                                <a:pt x="2194941"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4.049988pt;margin-top:18.694042pt;width:172.85pt;height:.1pt;mso-position-horizontal-relative:page;mso-position-vertical-relative:paragraph;z-index:-15716864;mso-wrap-distance-left:0;mso-wrap-distance-right:0" id="docshape48" coordorigin="6481,374" coordsize="3457,0" path="m6481,374l9938,374e" filled="false" stroked="true" strokeweight=".44157pt" strokecolor="#000000">
                <v:path arrowok="t"/>
                <v:stroke dashstyle="solid"/>
                <w10:wrap type="topAndBottom"/>
              </v:shape>
            </w:pict>
          </mc:Fallback>
        </mc:AlternateContent>
      </w:r>
    </w:p>
    <w:p>
      <w:pPr>
        <w:pStyle w:val="BodyText"/>
        <w:tabs>
          <w:tab w:pos="5775" w:val="left" w:leader="none"/>
        </w:tabs>
        <w:spacing w:before="4"/>
        <w:ind w:left="1430"/>
      </w:pPr>
      <w:r>
        <w:rPr>
          <w:spacing w:val="-4"/>
        </w:rPr>
        <w:t>D.</w:t>
      </w:r>
      <w:r>
        <w:rPr>
          <w:spacing w:val="-3"/>
        </w:rPr>
        <w:t> </w:t>
      </w:r>
      <w:r>
        <w:rPr>
          <w:spacing w:val="-4"/>
        </w:rPr>
        <w:t>José</w:t>
      </w:r>
      <w:r>
        <w:rPr>
          <w:spacing w:val="-3"/>
        </w:rPr>
        <w:t> </w:t>
      </w:r>
      <w:r>
        <w:rPr>
          <w:spacing w:val="-4"/>
        </w:rPr>
        <w:t>Antonio</w:t>
      </w:r>
      <w:r>
        <w:rPr>
          <w:spacing w:val="-2"/>
        </w:rPr>
        <w:t> </w:t>
      </w:r>
      <w:r>
        <w:rPr>
          <w:spacing w:val="-4"/>
        </w:rPr>
        <w:t>Santano</w:t>
      </w:r>
      <w:r>
        <w:rPr>
          <w:spacing w:val="-1"/>
        </w:rPr>
        <w:t> </w:t>
      </w:r>
      <w:r>
        <w:rPr>
          <w:spacing w:val="-4"/>
        </w:rPr>
        <w:t>Clavero</w:t>
      </w:r>
      <w:r>
        <w:rPr/>
        <w:tab/>
      </w:r>
      <w:r>
        <w:rPr>
          <w:spacing w:val="-2"/>
        </w:rPr>
        <w:t>D.</w:t>
      </w:r>
      <w:r>
        <w:rPr>
          <w:spacing w:val="-12"/>
        </w:rPr>
        <w:t> </w:t>
      </w:r>
      <w:r>
        <w:rPr>
          <w:spacing w:val="-2"/>
        </w:rPr>
        <w:t>José</w:t>
      </w:r>
      <w:r>
        <w:rPr>
          <w:spacing w:val="-12"/>
        </w:rPr>
        <w:t> </w:t>
      </w:r>
      <w:r>
        <w:rPr>
          <w:spacing w:val="-2"/>
        </w:rPr>
        <w:t>Ballesta</w:t>
      </w:r>
      <w:r>
        <w:rPr>
          <w:spacing w:val="-12"/>
        </w:rPr>
        <w:t> </w:t>
      </w:r>
      <w:r>
        <w:rPr>
          <w:spacing w:val="-2"/>
        </w:rPr>
        <w:t>Germán</w:t>
      </w:r>
    </w:p>
    <w:p>
      <w:pPr>
        <w:pStyle w:val="BodyText"/>
        <w:tabs>
          <w:tab w:pos="5775" w:val="left" w:leader="none"/>
        </w:tabs>
        <w:spacing w:before="8"/>
        <w:ind w:left="1430"/>
      </w:pPr>
      <w:r>
        <w:rPr>
          <w:spacing w:val="-2"/>
        </w:rPr>
        <w:t>Presidente</w:t>
      </w:r>
      <w:r>
        <w:rPr/>
        <w:tab/>
      </w:r>
      <w:r>
        <w:rPr>
          <w:spacing w:val="-5"/>
        </w:rPr>
        <w:t>Vicepresidente</w:t>
      </w:r>
      <w:r>
        <w:rPr>
          <w:spacing w:val="13"/>
        </w:rPr>
        <w:t> </w:t>
      </w:r>
      <w:r>
        <w:rPr>
          <w:spacing w:val="-5"/>
        </w:rPr>
        <w:t>1º</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7"/>
        <w:rPr>
          <w:sz w:val="20"/>
        </w:rPr>
      </w:pPr>
      <w:r>
        <w:rPr>
          <w:sz w:val="20"/>
        </w:rPr>
        <mc:AlternateContent>
          <mc:Choice Requires="wps">
            <w:drawing>
              <wp:anchor distT="0" distB="0" distL="0" distR="0" allowOverlap="1" layoutInCell="1" locked="0" behindDoc="1" simplePos="0" relativeHeight="487600128">
                <wp:simplePos x="0" y="0"/>
                <wp:positionH relativeFrom="page">
                  <wp:posOffset>1313814</wp:posOffset>
                </wp:positionH>
                <wp:positionV relativeFrom="paragraph">
                  <wp:posOffset>242255</wp:posOffset>
                </wp:positionV>
                <wp:extent cx="2655570" cy="635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2655570" cy="6350"/>
                        </a:xfrm>
                        <a:custGeom>
                          <a:avLst/>
                          <a:gdLst/>
                          <a:ahLst/>
                          <a:cxnLst/>
                          <a:rect l="l" t="t" r="r" b="b"/>
                          <a:pathLst>
                            <a:path w="2655570" h="6350">
                              <a:moveTo>
                                <a:pt x="2655443" y="0"/>
                              </a:moveTo>
                              <a:lnTo>
                                <a:pt x="0" y="0"/>
                              </a:lnTo>
                              <a:lnTo>
                                <a:pt x="0" y="6096"/>
                              </a:lnTo>
                              <a:lnTo>
                                <a:pt x="2655443" y="6096"/>
                              </a:lnTo>
                              <a:lnTo>
                                <a:pt x="26554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3.449997pt;margin-top:19.07526pt;width:209.09pt;height:.48001pt;mso-position-horizontal-relative:page;mso-position-vertical-relative:paragraph;z-index:-15716352;mso-wrap-distance-left:0;mso-wrap-distance-right:0" id="docshape49"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00640">
                <wp:simplePos x="0" y="0"/>
                <wp:positionH relativeFrom="page">
                  <wp:posOffset>4070984</wp:posOffset>
                </wp:positionH>
                <wp:positionV relativeFrom="paragraph">
                  <wp:posOffset>242255</wp:posOffset>
                </wp:positionV>
                <wp:extent cx="2298700" cy="635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2298700" cy="6350"/>
                        </a:xfrm>
                        <a:custGeom>
                          <a:avLst/>
                          <a:gdLst/>
                          <a:ahLst/>
                          <a:cxnLst/>
                          <a:rect l="l" t="t" r="r" b="b"/>
                          <a:pathLst>
                            <a:path w="2298700" h="6350">
                              <a:moveTo>
                                <a:pt x="2298445" y="0"/>
                              </a:moveTo>
                              <a:lnTo>
                                <a:pt x="0" y="0"/>
                              </a:lnTo>
                              <a:lnTo>
                                <a:pt x="0" y="6096"/>
                              </a:lnTo>
                              <a:lnTo>
                                <a:pt x="2298445" y="6096"/>
                              </a:lnTo>
                              <a:lnTo>
                                <a:pt x="22984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0.549988pt;margin-top:19.07526pt;width:180.98pt;height:.48001pt;mso-position-horizontal-relative:page;mso-position-vertical-relative:paragraph;z-index:-15715840;mso-wrap-distance-left:0;mso-wrap-distance-right:0" id="docshape50" filled="true" fillcolor="#000000" stroked="false">
                <v:fill type="solid"/>
                <w10:wrap type="topAndBottom"/>
              </v:rect>
            </w:pict>
          </mc:Fallback>
        </mc:AlternateContent>
      </w:r>
    </w:p>
    <w:p>
      <w:pPr>
        <w:pStyle w:val="BodyText"/>
        <w:tabs>
          <w:tab w:pos="5775" w:val="left" w:leader="none"/>
        </w:tabs>
        <w:spacing w:before="7"/>
        <w:ind w:left="1430"/>
      </w:pPr>
      <w:r>
        <w:rPr/>
        <w:t>D.</w:t>
      </w:r>
      <w:r>
        <w:rPr>
          <w:spacing w:val="-6"/>
        </w:rPr>
        <w:t> </w:t>
      </w:r>
      <w:r>
        <w:rPr/>
        <w:t>Jorge</w:t>
      </w:r>
      <w:r>
        <w:rPr>
          <w:spacing w:val="-5"/>
        </w:rPr>
        <w:t> </w:t>
      </w:r>
      <w:r>
        <w:rPr/>
        <w:t>García</w:t>
      </w:r>
      <w:r>
        <w:rPr>
          <w:spacing w:val="-5"/>
        </w:rPr>
        <w:t> </w:t>
      </w:r>
      <w:r>
        <w:rPr>
          <w:spacing w:val="-2"/>
        </w:rPr>
        <w:t>Montoro</w:t>
      </w:r>
      <w:r>
        <w:rPr/>
        <w:tab/>
      </w:r>
      <w:r>
        <w:rPr>
          <w:spacing w:val="-2"/>
        </w:rPr>
        <w:t>D.</w:t>
      </w:r>
      <w:r>
        <w:rPr>
          <w:spacing w:val="-12"/>
        </w:rPr>
        <w:t> </w:t>
      </w:r>
      <w:r>
        <w:rPr>
          <w:spacing w:val="-2"/>
        </w:rPr>
        <w:t>Luis</w:t>
      </w:r>
      <w:r>
        <w:rPr>
          <w:spacing w:val="-12"/>
        </w:rPr>
        <w:t> </w:t>
      </w:r>
      <w:r>
        <w:rPr>
          <w:spacing w:val="-2"/>
        </w:rPr>
        <w:t>Pedro</w:t>
      </w:r>
      <w:r>
        <w:rPr>
          <w:spacing w:val="-11"/>
        </w:rPr>
        <w:t> </w:t>
      </w:r>
      <w:r>
        <w:rPr>
          <w:spacing w:val="-2"/>
        </w:rPr>
        <w:t>Marco</w:t>
      </w:r>
      <w:r>
        <w:rPr>
          <w:spacing w:val="-10"/>
        </w:rPr>
        <w:t> </w:t>
      </w:r>
      <w:r>
        <w:rPr>
          <w:spacing w:val="-2"/>
        </w:rPr>
        <w:t>De</w:t>
      </w:r>
      <w:r>
        <w:rPr>
          <w:spacing w:val="-11"/>
        </w:rPr>
        <w:t> </w:t>
      </w:r>
      <w:r>
        <w:rPr>
          <w:spacing w:val="-2"/>
        </w:rPr>
        <w:t>la</w:t>
      </w:r>
      <w:r>
        <w:rPr>
          <w:spacing w:val="-12"/>
        </w:rPr>
        <w:t> </w:t>
      </w:r>
      <w:r>
        <w:rPr>
          <w:spacing w:val="-4"/>
        </w:rPr>
        <w:t>Peña</w:t>
      </w:r>
    </w:p>
    <w:p>
      <w:pPr>
        <w:pStyle w:val="BodyText"/>
        <w:tabs>
          <w:tab w:pos="5775" w:val="left" w:leader="none"/>
        </w:tabs>
        <w:spacing w:before="7"/>
        <w:ind w:left="1430"/>
      </w:pPr>
      <w:r>
        <w:rPr/>
        <w:t>Vicepresidente</w:t>
      </w:r>
      <w:r>
        <w:rPr>
          <w:spacing w:val="-14"/>
        </w:rPr>
        <w:t> </w:t>
      </w:r>
      <w:r>
        <w:rPr>
          <w:spacing w:val="-5"/>
        </w:rPr>
        <w:t>2º</w:t>
      </w:r>
      <w:r>
        <w:rPr/>
        <w:tab/>
        <w:t>Vicepresidente</w:t>
      </w:r>
      <w:r>
        <w:rPr>
          <w:spacing w:val="-14"/>
        </w:rPr>
        <w:t> </w:t>
      </w:r>
      <w:r>
        <w:rPr>
          <w:spacing w:val="-5"/>
        </w:rPr>
        <w:t>3º</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7"/>
        <w:rPr>
          <w:sz w:val="20"/>
        </w:rPr>
      </w:pPr>
      <w:r>
        <w:rPr>
          <w:sz w:val="20"/>
        </w:rPr>
        <mc:AlternateContent>
          <mc:Choice Requires="wps">
            <w:drawing>
              <wp:anchor distT="0" distB="0" distL="0" distR="0" allowOverlap="1" layoutInCell="1" locked="0" behindDoc="1" simplePos="0" relativeHeight="487601152">
                <wp:simplePos x="0" y="0"/>
                <wp:positionH relativeFrom="page">
                  <wp:posOffset>1313814</wp:posOffset>
                </wp:positionH>
                <wp:positionV relativeFrom="paragraph">
                  <wp:posOffset>242139</wp:posOffset>
                </wp:positionV>
                <wp:extent cx="2655570" cy="635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2655570" cy="6350"/>
                        </a:xfrm>
                        <a:custGeom>
                          <a:avLst/>
                          <a:gdLst/>
                          <a:ahLst/>
                          <a:cxnLst/>
                          <a:rect l="l" t="t" r="r" b="b"/>
                          <a:pathLst>
                            <a:path w="2655570" h="6350">
                              <a:moveTo>
                                <a:pt x="2655443" y="0"/>
                              </a:moveTo>
                              <a:lnTo>
                                <a:pt x="0" y="0"/>
                              </a:lnTo>
                              <a:lnTo>
                                <a:pt x="0" y="6094"/>
                              </a:lnTo>
                              <a:lnTo>
                                <a:pt x="2655443" y="6094"/>
                              </a:lnTo>
                              <a:lnTo>
                                <a:pt x="26554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3.449997pt;margin-top:19.066135pt;width:209.09pt;height:.47992pt;mso-position-horizontal-relative:page;mso-position-vertical-relative:paragraph;z-index:-15715328;mso-wrap-distance-left:0;mso-wrap-distance-right:0" id="docshape51"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01664">
                <wp:simplePos x="0" y="0"/>
                <wp:positionH relativeFrom="page">
                  <wp:posOffset>4070984</wp:posOffset>
                </wp:positionH>
                <wp:positionV relativeFrom="paragraph">
                  <wp:posOffset>242139</wp:posOffset>
                </wp:positionV>
                <wp:extent cx="2298700" cy="635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2298700" cy="6350"/>
                        </a:xfrm>
                        <a:custGeom>
                          <a:avLst/>
                          <a:gdLst/>
                          <a:ahLst/>
                          <a:cxnLst/>
                          <a:rect l="l" t="t" r="r" b="b"/>
                          <a:pathLst>
                            <a:path w="2298700" h="6350">
                              <a:moveTo>
                                <a:pt x="2298445" y="0"/>
                              </a:moveTo>
                              <a:lnTo>
                                <a:pt x="0" y="0"/>
                              </a:lnTo>
                              <a:lnTo>
                                <a:pt x="0" y="6094"/>
                              </a:lnTo>
                              <a:lnTo>
                                <a:pt x="2298445" y="6094"/>
                              </a:lnTo>
                              <a:lnTo>
                                <a:pt x="22984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0.549988pt;margin-top:19.066135pt;width:180.98pt;height:.47992pt;mso-position-horizontal-relative:page;mso-position-vertical-relative:paragraph;z-index:-15714816;mso-wrap-distance-left:0;mso-wrap-distance-right:0" id="docshape52" filled="true" fillcolor="#000000" stroked="false">
                <v:fill type="solid"/>
                <w10:wrap type="topAndBottom"/>
              </v:rect>
            </w:pict>
          </mc:Fallback>
        </mc:AlternateContent>
      </w:r>
    </w:p>
    <w:p>
      <w:pPr>
        <w:pStyle w:val="BodyText"/>
        <w:tabs>
          <w:tab w:pos="5775" w:val="left" w:leader="none"/>
        </w:tabs>
        <w:spacing w:before="6"/>
        <w:ind w:left="1430"/>
      </w:pPr>
      <w:r>
        <w:rPr>
          <w:spacing w:val="-4"/>
        </w:rPr>
        <w:t>D.</w:t>
      </w:r>
      <w:r>
        <w:rPr>
          <w:spacing w:val="-3"/>
        </w:rPr>
        <w:t> </w:t>
      </w:r>
      <w:r>
        <w:rPr>
          <w:spacing w:val="-4"/>
        </w:rPr>
        <w:t>Antonio</w:t>
      </w:r>
      <w:r>
        <w:rPr>
          <w:spacing w:val="-2"/>
        </w:rPr>
        <w:t> </w:t>
      </w:r>
      <w:r>
        <w:rPr>
          <w:spacing w:val="-4"/>
        </w:rPr>
        <w:t>Javier</w:t>
      </w:r>
      <w:r>
        <w:rPr/>
        <w:t> </w:t>
      </w:r>
      <w:r>
        <w:rPr>
          <w:spacing w:val="-4"/>
        </w:rPr>
        <w:t>Navarro</w:t>
      </w:r>
      <w:r>
        <w:rPr>
          <w:spacing w:val="-3"/>
        </w:rPr>
        <w:t> </w:t>
      </w:r>
      <w:r>
        <w:rPr>
          <w:spacing w:val="-4"/>
        </w:rPr>
        <w:t>Corchón</w:t>
      </w:r>
      <w:r>
        <w:rPr/>
        <w:tab/>
      </w:r>
      <w:r>
        <w:rPr>
          <w:spacing w:val="-4"/>
        </w:rPr>
        <w:t>D.</w:t>
      </w:r>
      <w:r>
        <w:rPr>
          <w:spacing w:val="-6"/>
        </w:rPr>
        <w:t> </w:t>
      </w:r>
      <w:r>
        <w:rPr>
          <w:spacing w:val="-4"/>
        </w:rPr>
        <w:t>Andrés</w:t>
      </w:r>
      <w:r>
        <w:rPr>
          <w:spacing w:val="-3"/>
        </w:rPr>
        <w:t> </w:t>
      </w:r>
      <w:r>
        <w:rPr>
          <w:spacing w:val="-4"/>
        </w:rPr>
        <w:t>Francisco</w:t>
      </w:r>
      <w:r>
        <w:rPr>
          <w:spacing w:val="-2"/>
        </w:rPr>
        <w:t> </w:t>
      </w:r>
      <w:r>
        <w:rPr>
          <w:spacing w:val="-4"/>
        </w:rPr>
        <w:t>Guerrero</w:t>
      </w:r>
      <w:r>
        <w:rPr/>
        <w:t> </w:t>
      </w:r>
      <w:r>
        <w:rPr>
          <w:spacing w:val="-4"/>
        </w:rPr>
        <w:t>Martínez</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9"/>
        <w:rPr>
          <w:sz w:val="20"/>
        </w:rPr>
      </w:pPr>
      <w:r>
        <w:rPr>
          <w:sz w:val="20"/>
        </w:rPr>
        <mc:AlternateContent>
          <mc:Choice Requires="wps">
            <w:drawing>
              <wp:anchor distT="0" distB="0" distL="0" distR="0" allowOverlap="1" layoutInCell="1" locked="0" behindDoc="1" simplePos="0" relativeHeight="487602176">
                <wp:simplePos x="0" y="0"/>
                <wp:positionH relativeFrom="page">
                  <wp:posOffset>1357630</wp:posOffset>
                </wp:positionH>
                <wp:positionV relativeFrom="paragraph">
                  <wp:posOffset>237045</wp:posOffset>
                </wp:positionV>
                <wp:extent cx="2537460"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2537460" cy="1270"/>
                        </a:xfrm>
                        <a:custGeom>
                          <a:avLst/>
                          <a:gdLst/>
                          <a:ahLst/>
                          <a:cxnLst/>
                          <a:rect l="l" t="t" r="r" b="b"/>
                          <a:pathLst>
                            <a:path w="2537460" h="0">
                              <a:moveTo>
                                <a:pt x="0" y="0"/>
                              </a:moveTo>
                              <a:lnTo>
                                <a:pt x="2537460"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6.900002pt;margin-top:18.66498pt;width:199.8pt;height:.1pt;mso-position-horizontal-relative:page;mso-position-vertical-relative:paragraph;z-index:-15714304;mso-wrap-distance-left:0;mso-wrap-distance-right:0" id="docshape53" coordorigin="2138,373" coordsize="3996,0" path="m2138,373l6134,373e" filled="false" stroked="true" strokeweight=".44157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2688">
                <wp:simplePos x="0" y="0"/>
                <wp:positionH relativeFrom="page">
                  <wp:posOffset>4115434</wp:posOffset>
                </wp:positionH>
                <wp:positionV relativeFrom="paragraph">
                  <wp:posOffset>237045</wp:posOffset>
                </wp:positionV>
                <wp:extent cx="2194560"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2194560" cy="1270"/>
                        </a:xfrm>
                        <a:custGeom>
                          <a:avLst/>
                          <a:gdLst/>
                          <a:ahLst/>
                          <a:cxnLst/>
                          <a:rect l="l" t="t" r="r" b="b"/>
                          <a:pathLst>
                            <a:path w="2194560" h="0">
                              <a:moveTo>
                                <a:pt x="0" y="0"/>
                              </a:moveTo>
                              <a:lnTo>
                                <a:pt x="2194560"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4.049988pt;margin-top:18.66498pt;width:172.8pt;height:.1pt;mso-position-horizontal-relative:page;mso-position-vertical-relative:paragraph;z-index:-15713792;mso-wrap-distance-left:0;mso-wrap-distance-right:0" id="docshape54" coordorigin="6481,373" coordsize="3456,0" path="m6481,373l9937,373e" filled="false" stroked="true" strokeweight=".44157pt" strokecolor="#000000">
                <v:path arrowok="t"/>
                <v:stroke dashstyle="solid"/>
                <w10:wrap type="topAndBottom"/>
              </v:shape>
            </w:pict>
          </mc:Fallback>
        </mc:AlternateContent>
      </w:r>
    </w:p>
    <w:p>
      <w:pPr>
        <w:pStyle w:val="BodyText"/>
        <w:tabs>
          <w:tab w:pos="5775" w:val="left" w:leader="none"/>
        </w:tabs>
        <w:spacing w:before="6"/>
        <w:ind w:left="1430"/>
      </w:pPr>
      <w:r>
        <w:rPr>
          <w:spacing w:val="-4"/>
        </w:rPr>
        <w:t>D.</w:t>
      </w:r>
      <w:r>
        <w:rPr>
          <w:spacing w:val="-6"/>
        </w:rPr>
        <w:t> </w:t>
      </w:r>
      <w:r>
        <w:rPr>
          <w:spacing w:val="-4"/>
        </w:rPr>
        <w:t>José</w:t>
      </w:r>
      <w:r>
        <w:rPr>
          <w:spacing w:val="-2"/>
        </w:rPr>
        <w:t> </w:t>
      </w:r>
      <w:r>
        <w:rPr>
          <w:spacing w:val="-4"/>
        </w:rPr>
        <w:t>Antonio</w:t>
      </w:r>
      <w:r>
        <w:rPr>
          <w:spacing w:val="-3"/>
        </w:rPr>
        <w:t> </w:t>
      </w:r>
      <w:r>
        <w:rPr>
          <w:spacing w:val="-4"/>
        </w:rPr>
        <w:t>Verdú</w:t>
      </w:r>
      <w:r>
        <w:rPr>
          <w:spacing w:val="-2"/>
        </w:rPr>
        <w:t> </w:t>
      </w:r>
      <w:r>
        <w:rPr>
          <w:spacing w:val="-4"/>
        </w:rPr>
        <w:t>Yllán</w:t>
      </w:r>
      <w:r>
        <w:rPr/>
        <w:tab/>
      </w:r>
      <w:r>
        <w:rPr>
          <w:spacing w:val="-4"/>
        </w:rPr>
        <w:t>D.</w:t>
      </w:r>
      <w:r>
        <w:rPr>
          <w:spacing w:val="-5"/>
        </w:rPr>
        <w:t> </w:t>
      </w:r>
      <w:r>
        <w:rPr>
          <w:spacing w:val="-4"/>
        </w:rPr>
        <w:t>Francisco</w:t>
      </w:r>
      <w:r>
        <w:rPr>
          <w:spacing w:val="-1"/>
        </w:rPr>
        <w:t> </w:t>
      </w:r>
      <w:r>
        <w:rPr>
          <w:spacing w:val="-4"/>
        </w:rPr>
        <w:t>Javier</w:t>
      </w:r>
      <w:r>
        <w:rPr>
          <w:spacing w:val="-1"/>
        </w:rPr>
        <w:t> </w:t>
      </w:r>
      <w:r>
        <w:rPr>
          <w:spacing w:val="-4"/>
        </w:rPr>
        <w:t>Sánchez</w:t>
      </w:r>
      <w:r>
        <w:rPr>
          <w:spacing w:val="-2"/>
        </w:rPr>
        <w:t> </w:t>
      </w:r>
      <w:r>
        <w:rPr>
          <w:spacing w:val="-4"/>
        </w:rPr>
        <w:t>Ayala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0"/>
        <w:rPr>
          <w:sz w:val="20"/>
        </w:rPr>
      </w:pPr>
      <w:r>
        <w:rPr>
          <w:sz w:val="20"/>
        </w:rPr>
        <mc:AlternateContent>
          <mc:Choice Requires="wps">
            <w:drawing>
              <wp:anchor distT="0" distB="0" distL="0" distR="0" allowOverlap="1" layoutInCell="1" locked="0" behindDoc="1" simplePos="0" relativeHeight="487603200">
                <wp:simplePos x="0" y="0"/>
                <wp:positionH relativeFrom="page">
                  <wp:posOffset>1357630</wp:posOffset>
                </wp:positionH>
                <wp:positionV relativeFrom="paragraph">
                  <wp:posOffset>237924</wp:posOffset>
                </wp:positionV>
                <wp:extent cx="2400300"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2400300" cy="1270"/>
                        </a:xfrm>
                        <a:custGeom>
                          <a:avLst/>
                          <a:gdLst/>
                          <a:ahLst/>
                          <a:cxnLst/>
                          <a:rect l="l" t="t" r="r" b="b"/>
                          <a:pathLst>
                            <a:path w="2400300" h="0">
                              <a:moveTo>
                                <a:pt x="0" y="0"/>
                              </a:moveTo>
                              <a:lnTo>
                                <a:pt x="2400299"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6.900002pt;margin-top:18.734196pt;width:189pt;height:.1pt;mso-position-horizontal-relative:page;mso-position-vertical-relative:paragraph;z-index:-15713280;mso-wrap-distance-left:0;mso-wrap-distance-right:0" id="docshape55" coordorigin="2138,375" coordsize="3780,0" path="m2138,375l5918,375e" filled="false" stroked="true" strokeweight=".44157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3712">
                <wp:simplePos x="0" y="0"/>
                <wp:positionH relativeFrom="page">
                  <wp:posOffset>4115434</wp:posOffset>
                </wp:positionH>
                <wp:positionV relativeFrom="paragraph">
                  <wp:posOffset>237924</wp:posOffset>
                </wp:positionV>
                <wp:extent cx="2125980"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2125980" cy="1270"/>
                        </a:xfrm>
                        <a:custGeom>
                          <a:avLst/>
                          <a:gdLst/>
                          <a:ahLst/>
                          <a:cxnLst/>
                          <a:rect l="l" t="t" r="r" b="b"/>
                          <a:pathLst>
                            <a:path w="2125980" h="0">
                              <a:moveTo>
                                <a:pt x="0" y="0"/>
                              </a:moveTo>
                              <a:lnTo>
                                <a:pt x="2125979"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4.049988pt;margin-top:18.734196pt;width:167.4pt;height:.1pt;mso-position-horizontal-relative:page;mso-position-vertical-relative:paragraph;z-index:-15712768;mso-wrap-distance-left:0;mso-wrap-distance-right:0" id="docshape56" coordorigin="6481,375" coordsize="3348,0" path="m6481,375l9829,375e" filled="false" stroked="true" strokeweight=".44157pt" strokecolor="#000000">
                <v:path arrowok="t"/>
                <v:stroke dashstyle="solid"/>
                <w10:wrap type="topAndBottom"/>
              </v:shape>
            </w:pict>
          </mc:Fallback>
        </mc:AlternateContent>
      </w:r>
    </w:p>
    <w:p>
      <w:pPr>
        <w:pStyle w:val="BodyText"/>
        <w:tabs>
          <w:tab w:pos="5775" w:val="left" w:leader="none"/>
        </w:tabs>
        <w:spacing w:before="6"/>
        <w:ind w:left="1430"/>
      </w:pPr>
      <w:r>
        <w:rPr>
          <w:spacing w:val="-4"/>
        </w:rPr>
        <w:t>D. Juan</w:t>
      </w:r>
      <w:r>
        <w:rPr>
          <w:spacing w:val="-2"/>
        </w:rPr>
        <w:t> </w:t>
      </w:r>
      <w:r>
        <w:rPr>
          <w:spacing w:val="-4"/>
        </w:rPr>
        <w:t>Antonio</w:t>
      </w:r>
      <w:r>
        <w:rPr>
          <w:spacing w:val="-3"/>
        </w:rPr>
        <w:t> </w:t>
      </w:r>
      <w:r>
        <w:rPr>
          <w:spacing w:val="-4"/>
        </w:rPr>
        <w:t>Hermoso</w:t>
      </w:r>
      <w:r>
        <w:rPr>
          <w:spacing w:val="-3"/>
        </w:rPr>
        <w:t> </w:t>
      </w:r>
      <w:r>
        <w:rPr>
          <w:spacing w:val="-4"/>
        </w:rPr>
        <w:t>Marín</w:t>
      </w:r>
      <w:r>
        <w:rPr/>
        <w:tab/>
      </w:r>
      <w:r>
        <w:rPr>
          <w:spacing w:val="-2"/>
        </w:rPr>
        <w:t>D.</w:t>
      </w:r>
      <w:r>
        <w:rPr>
          <w:spacing w:val="-10"/>
        </w:rPr>
        <w:t> </w:t>
      </w:r>
      <w:r>
        <w:rPr>
          <w:spacing w:val="-2"/>
        </w:rPr>
        <w:t>José</w:t>
      </w:r>
      <w:r>
        <w:rPr>
          <w:spacing w:val="-11"/>
        </w:rPr>
        <w:t> </w:t>
      </w:r>
      <w:r>
        <w:rPr>
          <w:spacing w:val="-2"/>
        </w:rPr>
        <w:t>Manuel</w:t>
      </w:r>
      <w:r>
        <w:rPr>
          <w:spacing w:val="-10"/>
        </w:rPr>
        <w:t> </w:t>
      </w:r>
      <w:r>
        <w:rPr>
          <w:spacing w:val="-2"/>
        </w:rPr>
        <w:t>Dávila</w:t>
      </w:r>
      <w:r>
        <w:rPr>
          <w:spacing w:val="-7"/>
        </w:rPr>
        <w:t> </w:t>
      </w:r>
      <w:r>
        <w:rPr>
          <w:spacing w:val="-2"/>
        </w:rPr>
        <w:t>Cascón</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9"/>
        <w:rPr>
          <w:sz w:val="20"/>
        </w:rPr>
      </w:pPr>
      <w:r>
        <w:rPr>
          <w:sz w:val="20"/>
        </w:rPr>
        <mc:AlternateContent>
          <mc:Choice Requires="wps">
            <w:drawing>
              <wp:anchor distT="0" distB="0" distL="0" distR="0" allowOverlap="1" layoutInCell="1" locked="0" behindDoc="1" simplePos="0" relativeHeight="487604224">
                <wp:simplePos x="0" y="0"/>
                <wp:positionH relativeFrom="page">
                  <wp:posOffset>1357630</wp:posOffset>
                </wp:positionH>
                <wp:positionV relativeFrom="paragraph">
                  <wp:posOffset>237162</wp:posOffset>
                </wp:positionV>
                <wp:extent cx="2537460"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2537460" cy="1270"/>
                        </a:xfrm>
                        <a:custGeom>
                          <a:avLst/>
                          <a:gdLst/>
                          <a:ahLst/>
                          <a:cxnLst/>
                          <a:rect l="l" t="t" r="r" b="b"/>
                          <a:pathLst>
                            <a:path w="2537460" h="0">
                              <a:moveTo>
                                <a:pt x="0" y="0"/>
                              </a:moveTo>
                              <a:lnTo>
                                <a:pt x="2537460"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6.900002pt;margin-top:18.674196pt;width:199.8pt;height:.1pt;mso-position-horizontal-relative:page;mso-position-vertical-relative:paragraph;z-index:-15712256;mso-wrap-distance-left:0;mso-wrap-distance-right:0" id="docshape57" coordorigin="2138,373" coordsize="3996,0" path="m2138,373l6134,373e" filled="false" stroked="true" strokeweight=".44157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4736">
                <wp:simplePos x="0" y="0"/>
                <wp:positionH relativeFrom="page">
                  <wp:posOffset>4115434</wp:posOffset>
                </wp:positionH>
                <wp:positionV relativeFrom="paragraph">
                  <wp:posOffset>237162</wp:posOffset>
                </wp:positionV>
                <wp:extent cx="2125980" cy="127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2125980" cy="1270"/>
                        </a:xfrm>
                        <a:custGeom>
                          <a:avLst/>
                          <a:gdLst/>
                          <a:ahLst/>
                          <a:cxnLst/>
                          <a:rect l="l" t="t" r="r" b="b"/>
                          <a:pathLst>
                            <a:path w="2125980" h="0">
                              <a:moveTo>
                                <a:pt x="0" y="0"/>
                              </a:moveTo>
                              <a:lnTo>
                                <a:pt x="2125979"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4.049988pt;margin-top:18.674196pt;width:167.4pt;height:.1pt;mso-position-horizontal-relative:page;mso-position-vertical-relative:paragraph;z-index:-15711744;mso-wrap-distance-left:0;mso-wrap-distance-right:0" id="docshape58" coordorigin="6481,373" coordsize="3348,0" path="m6481,373l9829,373e" filled="false" stroked="true" strokeweight=".44157pt" strokecolor="#000000">
                <v:path arrowok="t"/>
                <v:stroke dashstyle="solid"/>
                <w10:wrap type="topAndBottom"/>
              </v:shape>
            </w:pict>
          </mc:Fallback>
        </mc:AlternateContent>
      </w:r>
    </w:p>
    <w:p>
      <w:pPr>
        <w:pStyle w:val="BodyText"/>
        <w:tabs>
          <w:tab w:pos="5775" w:val="left" w:leader="none"/>
        </w:tabs>
        <w:spacing w:before="5"/>
        <w:ind w:left="1430"/>
      </w:pPr>
      <w:r>
        <w:rPr>
          <w:spacing w:val="-4"/>
        </w:rPr>
        <w:t>Dña.</w:t>
      </w:r>
      <w:r>
        <w:rPr>
          <w:spacing w:val="-5"/>
        </w:rPr>
        <w:t> </w:t>
      </w:r>
      <w:r>
        <w:rPr>
          <w:spacing w:val="-4"/>
        </w:rPr>
        <w:t>Elena González</w:t>
      </w:r>
      <w:r>
        <w:rPr>
          <w:spacing w:val="-2"/>
        </w:rPr>
        <w:t> </w:t>
      </w:r>
      <w:r>
        <w:rPr>
          <w:spacing w:val="-4"/>
        </w:rPr>
        <w:t>Gómez</w:t>
      </w:r>
      <w:r>
        <w:rPr/>
        <w:tab/>
      </w:r>
      <w:r>
        <w:rPr>
          <w:spacing w:val="-4"/>
        </w:rPr>
        <w:t>D.</w:t>
      </w:r>
      <w:r>
        <w:rPr>
          <w:spacing w:val="-3"/>
        </w:rPr>
        <w:t> </w:t>
      </w:r>
      <w:r>
        <w:rPr>
          <w:spacing w:val="-4"/>
        </w:rPr>
        <w:t>José</w:t>
      </w:r>
      <w:r>
        <w:rPr>
          <w:spacing w:val="-3"/>
        </w:rPr>
        <w:t> </w:t>
      </w:r>
      <w:r>
        <w:rPr>
          <w:spacing w:val="-4"/>
        </w:rPr>
        <w:t>Francisco</w:t>
      </w:r>
      <w:r>
        <w:rPr>
          <w:spacing w:val="-2"/>
        </w:rPr>
        <w:t> </w:t>
      </w:r>
      <w:r>
        <w:rPr>
          <w:spacing w:val="-4"/>
        </w:rPr>
        <w:t>Lajara</w:t>
      </w:r>
      <w:r>
        <w:rPr>
          <w:spacing w:val="-2"/>
        </w:rPr>
        <w:t> </w:t>
      </w:r>
      <w:r>
        <w:rPr>
          <w:spacing w:val="-4"/>
        </w:rPr>
        <w:t>Martínez</w:t>
      </w:r>
    </w:p>
    <w:sectPr>
      <w:pgSz w:w="11910" w:h="16840"/>
      <w:pgMar w:header="694" w:footer="690" w:top="1920" w:bottom="880" w:left="708"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076544">
              <wp:simplePos x="0" y="0"/>
              <wp:positionH relativeFrom="page">
                <wp:posOffset>3844035</wp:posOffset>
              </wp:positionH>
              <wp:positionV relativeFrom="page">
                <wp:posOffset>9891719</wp:posOffset>
              </wp:positionV>
              <wp:extent cx="158750" cy="1803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8750" cy="18034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302.679993pt;margin-top:778.875549pt;width:12.5pt;height:14.2pt;mso-position-horizontal-relative:page;mso-position-vertical-relative:page;z-index:-19239936" type="#_x0000_t202" id="docshape2"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077568">
              <wp:simplePos x="0" y="0"/>
              <wp:positionH relativeFrom="page">
                <wp:posOffset>3844035</wp:posOffset>
              </wp:positionH>
              <wp:positionV relativeFrom="page">
                <wp:posOffset>9893243</wp:posOffset>
              </wp:positionV>
              <wp:extent cx="158750" cy="1803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8750" cy="18034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302.679993pt;margin-top:778.995544pt;width:12.5pt;height:14.2pt;mso-position-horizontal-relative:page;mso-position-vertical-relative:page;z-index:-19238912" type="#_x0000_t202" id="docshape4"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078592">
              <wp:simplePos x="0" y="0"/>
              <wp:positionH relativeFrom="page">
                <wp:posOffset>3834384</wp:posOffset>
              </wp:positionH>
              <wp:positionV relativeFrom="page">
                <wp:posOffset>10115239</wp:posOffset>
              </wp:positionV>
              <wp:extent cx="165735" cy="18034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5735" cy="18034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301.920013pt;margin-top:796.475586pt;width:13.05pt;height:14.2pt;mso-position-horizontal-relative:page;mso-position-vertical-relative:page;z-index:-19237888" type="#_x0000_t202" id="docshape6"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076032">
              <wp:simplePos x="0" y="0"/>
              <wp:positionH relativeFrom="page">
                <wp:posOffset>2569210</wp:posOffset>
              </wp:positionH>
              <wp:positionV relativeFrom="page">
                <wp:posOffset>974583</wp:posOffset>
              </wp:positionV>
              <wp:extent cx="2578100" cy="2012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578100" cy="201295"/>
                      </a:xfrm>
                      <a:prstGeom prst="rect">
                        <a:avLst/>
                      </a:prstGeom>
                    </wps:spPr>
                    <wps:txbx>
                      <w:txbxContent>
                        <w:p>
                          <w:pPr>
                            <w:spacing w:before="9"/>
                            <w:ind w:left="20" w:right="0" w:firstLine="0"/>
                            <w:jc w:val="left"/>
                            <w:rPr>
                              <w:b/>
                              <w:sz w:val="25"/>
                            </w:rPr>
                          </w:pPr>
                          <w:r>
                            <w:rPr>
                              <w:b/>
                              <w:sz w:val="25"/>
                            </w:rPr>
                            <w:t>MURCIA</w:t>
                          </w:r>
                          <w:r>
                            <w:rPr>
                              <w:b/>
                              <w:spacing w:val="4"/>
                              <w:sz w:val="25"/>
                            </w:rPr>
                            <w:t> </w:t>
                          </w:r>
                          <w:r>
                            <w:rPr>
                              <w:b/>
                              <w:sz w:val="25"/>
                            </w:rPr>
                            <w:t>ALTA</w:t>
                          </w:r>
                          <w:r>
                            <w:rPr>
                              <w:b/>
                              <w:spacing w:val="5"/>
                              <w:sz w:val="25"/>
                            </w:rPr>
                            <w:t> </w:t>
                          </w:r>
                          <w:r>
                            <w:rPr>
                              <w:b/>
                              <w:sz w:val="25"/>
                            </w:rPr>
                            <w:t>VELOCIDAD,</w:t>
                          </w:r>
                          <w:r>
                            <w:rPr>
                              <w:b/>
                              <w:spacing w:val="4"/>
                              <w:sz w:val="25"/>
                            </w:rPr>
                            <w:t> </w:t>
                          </w:r>
                          <w:r>
                            <w:rPr>
                              <w:b/>
                              <w:spacing w:val="-4"/>
                              <w:sz w:val="25"/>
                            </w:rPr>
                            <w:t>S.A.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2.300003pt;margin-top:76.738884pt;width:203pt;height:15.85pt;mso-position-horizontal-relative:page;mso-position-vertical-relative:page;z-index:-19240448" type="#_x0000_t202" id="docshape1" filled="false" stroked="false">
              <v:textbox inset="0,0,0,0">
                <w:txbxContent>
                  <w:p>
                    <w:pPr>
                      <w:spacing w:before="9"/>
                      <w:ind w:left="20" w:right="0" w:firstLine="0"/>
                      <w:jc w:val="left"/>
                      <w:rPr>
                        <w:b/>
                        <w:sz w:val="25"/>
                      </w:rPr>
                    </w:pPr>
                    <w:r>
                      <w:rPr>
                        <w:b/>
                        <w:sz w:val="25"/>
                      </w:rPr>
                      <w:t>MURCIA</w:t>
                    </w:r>
                    <w:r>
                      <w:rPr>
                        <w:b/>
                        <w:spacing w:val="4"/>
                        <w:sz w:val="25"/>
                      </w:rPr>
                      <w:t> </w:t>
                    </w:r>
                    <w:r>
                      <w:rPr>
                        <w:b/>
                        <w:sz w:val="25"/>
                      </w:rPr>
                      <w:t>ALTA</w:t>
                    </w:r>
                    <w:r>
                      <w:rPr>
                        <w:b/>
                        <w:spacing w:val="5"/>
                        <w:sz w:val="25"/>
                      </w:rPr>
                      <w:t> </w:t>
                    </w:r>
                    <w:r>
                      <w:rPr>
                        <w:b/>
                        <w:sz w:val="25"/>
                      </w:rPr>
                      <w:t>VELOCIDAD,</w:t>
                    </w:r>
                    <w:r>
                      <w:rPr>
                        <w:b/>
                        <w:spacing w:val="4"/>
                        <w:sz w:val="25"/>
                      </w:rPr>
                      <w:t> </w:t>
                    </w:r>
                    <w:r>
                      <w:rPr>
                        <w:b/>
                        <w:spacing w:val="-4"/>
                        <w:sz w:val="25"/>
                      </w:rPr>
                      <w:t>S.A.</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077056">
              <wp:simplePos x="0" y="0"/>
              <wp:positionH relativeFrom="page">
                <wp:posOffset>2636266</wp:posOffset>
              </wp:positionH>
              <wp:positionV relativeFrom="page">
                <wp:posOffset>963915</wp:posOffset>
              </wp:positionV>
              <wp:extent cx="2578100" cy="20129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578100" cy="201295"/>
                      </a:xfrm>
                      <a:prstGeom prst="rect">
                        <a:avLst/>
                      </a:prstGeom>
                    </wps:spPr>
                    <wps:txbx>
                      <w:txbxContent>
                        <w:p>
                          <w:pPr>
                            <w:spacing w:before="9"/>
                            <w:ind w:left="20" w:right="0" w:firstLine="0"/>
                            <w:jc w:val="left"/>
                            <w:rPr>
                              <w:b/>
                              <w:sz w:val="25"/>
                            </w:rPr>
                          </w:pPr>
                          <w:r>
                            <w:rPr>
                              <w:b/>
                              <w:sz w:val="25"/>
                            </w:rPr>
                            <w:t>MURCIA</w:t>
                          </w:r>
                          <w:r>
                            <w:rPr>
                              <w:b/>
                              <w:spacing w:val="4"/>
                              <w:sz w:val="25"/>
                            </w:rPr>
                            <w:t> </w:t>
                          </w:r>
                          <w:r>
                            <w:rPr>
                              <w:b/>
                              <w:sz w:val="25"/>
                            </w:rPr>
                            <w:t>ALTA</w:t>
                          </w:r>
                          <w:r>
                            <w:rPr>
                              <w:b/>
                              <w:spacing w:val="5"/>
                              <w:sz w:val="25"/>
                            </w:rPr>
                            <w:t> </w:t>
                          </w:r>
                          <w:r>
                            <w:rPr>
                              <w:b/>
                              <w:sz w:val="25"/>
                            </w:rPr>
                            <w:t>VELOCIDAD,</w:t>
                          </w:r>
                          <w:r>
                            <w:rPr>
                              <w:b/>
                              <w:spacing w:val="4"/>
                              <w:sz w:val="25"/>
                            </w:rPr>
                            <w:t> </w:t>
                          </w:r>
                          <w:r>
                            <w:rPr>
                              <w:b/>
                              <w:spacing w:val="-4"/>
                              <w:sz w:val="25"/>
                            </w:rPr>
                            <w:t>S.A.</w:t>
                          </w:r>
                        </w:p>
                      </w:txbxContent>
                    </wps:txbx>
                    <wps:bodyPr wrap="square" lIns="0" tIns="0" rIns="0" bIns="0" rtlCol="0">
                      <a:noAutofit/>
                    </wps:bodyPr>
                  </wps:wsp>
                </a:graphicData>
              </a:graphic>
            </wp:anchor>
          </w:drawing>
        </mc:Choice>
        <mc:Fallback>
          <w:pict>
            <v:shape style="position:absolute;margin-left:207.580002pt;margin-top:75.898888pt;width:203pt;height:15.85pt;mso-position-horizontal-relative:page;mso-position-vertical-relative:page;z-index:-19239424" type="#_x0000_t202" id="docshape3" filled="false" stroked="false">
              <v:textbox inset="0,0,0,0">
                <w:txbxContent>
                  <w:p>
                    <w:pPr>
                      <w:spacing w:before="9"/>
                      <w:ind w:left="20" w:right="0" w:firstLine="0"/>
                      <w:jc w:val="left"/>
                      <w:rPr>
                        <w:b/>
                        <w:sz w:val="25"/>
                      </w:rPr>
                    </w:pPr>
                    <w:r>
                      <w:rPr>
                        <w:b/>
                        <w:sz w:val="25"/>
                      </w:rPr>
                      <w:t>MURCIA</w:t>
                    </w:r>
                    <w:r>
                      <w:rPr>
                        <w:b/>
                        <w:spacing w:val="4"/>
                        <w:sz w:val="25"/>
                      </w:rPr>
                      <w:t> </w:t>
                    </w:r>
                    <w:r>
                      <w:rPr>
                        <w:b/>
                        <w:sz w:val="25"/>
                      </w:rPr>
                      <w:t>ALTA</w:t>
                    </w:r>
                    <w:r>
                      <w:rPr>
                        <w:b/>
                        <w:spacing w:val="5"/>
                        <w:sz w:val="25"/>
                      </w:rPr>
                      <w:t> </w:t>
                    </w:r>
                    <w:r>
                      <w:rPr>
                        <w:b/>
                        <w:sz w:val="25"/>
                      </w:rPr>
                      <w:t>VELOCIDAD,</w:t>
                    </w:r>
                    <w:r>
                      <w:rPr>
                        <w:b/>
                        <w:spacing w:val="4"/>
                        <w:sz w:val="25"/>
                      </w:rPr>
                      <w:t> </w:t>
                    </w:r>
                    <w:r>
                      <w:rPr>
                        <w:b/>
                        <w:spacing w:val="-4"/>
                        <w:sz w:val="25"/>
                      </w:rPr>
                      <w:t>S.A.</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078080">
              <wp:simplePos x="0" y="0"/>
              <wp:positionH relativeFrom="page">
                <wp:posOffset>2288032</wp:posOffset>
              </wp:positionH>
              <wp:positionV relativeFrom="page">
                <wp:posOffset>428229</wp:posOffset>
              </wp:positionV>
              <wp:extent cx="3274060" cy="5861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274060" cy="586105"/>
                      </a:xfrm>
                      <a:prstGeom prst="rect">
                        <a:avLst/>
                      </a:prstGeom>
                    </wps:spPr>
                    <wps:txbx>
                      <w:txbxContent>
                        <w:p>
                          <w:pPr>
                            <w:spacing w:before="9"/>
                            <w:ind w:left="1" w:right="1" w:firstLine="0"/>
                            <w:jc w:val="center"/>
                            <w:rPr>
                              <w:b/>
                              <w:sz w:val="25"/>
                            </w:rPr>
                          </w:pPr>
                          <w:r>
                            <w:rPr>
                              <w:b/>
                              <w:sz w:val="25"/>
                            </w:rPr>
                            <w:t>MURCIA</w:t>
                          </w:r>
                          <w:r>
                            <w:rPr>
                              <w:b/>
                              <w:spacing w:val="4"/>
                              <w:sz w:val="25"/>
                            </w:rPr>
                            <w:t> </w:t>
                          </w:r>
                          <w:r>
                            <w:rPr>
                              <w:b/>
                              <w:sz w:val="25"/>
                            </w:rPr>
                            <w:t>ALTA</w:t>
                          </w:r>
                          <w:r>
                            <w:rPr>
                              <w:b/>
                              <w:spacing w:val="5"/>
                              <w:sz w:val="25"/>
                            </w:rPr>
                            <w:t> </w:t>
                          </w:r>
                          <w:r>
                            <w:rPr>
                              <w:b/>
                              <w:sz w:val="25"/>
                            </w:rPr>
                            <w:t>VELOCIDAD,</w:t>
                          </w:r>
                          <w:r>
                            <w:rPr>
                              <w:b/>
                              <w:spacing w:val="4"/>
                              <w:sz w:val="25"/>
                            </w:rPr>
                            <w:t> </w:t>
                          </w:r>
                          <w:r>
                            <w:rPr>
                              <w:b/>
                              <w:spacing w:val="-4"/>
                              <w:sz w:val="25"/>
                            </w:rPr>
                            <w:t>S.A.</w:t>
                          </w:r>
                        </w:p>
                        <w:p>
                          <w:pPr>
                            <w:spacing w:line="252" w:lineRule="auto" w:before="16"/>
                            <w:ind w:left="1" w:right="0" w:firstLine="0"/>
                            <w:jc w:val="center"/>
                            <w:rPr>
                              <w:b/>
                              <w:sz w:val="25"/>
                            </w:rPr>
                          </w:pPr>
                          <w:r>
                            <w:rPr>
                              <w:b/>
                              <w:spacing w:val="-4"/>
                              <w:sz w:val="25"/>
                            </w:rPr>
                            <w:t>Memoria</w:t>
                          </w:r>
                          <w:r>
                            <w:rPr>
                              <w:b/>
                              <w:spacing w:val="-11"/>
                              <w:sz w:val="25"/>
                            </w:rPr>
                            <w:t> </w:t>
                          </w:r>
                          <w:r>
                            <w:rPr>
                              <w:b/>
                              <w:spacing w:val="-4"/>
                              <w:sz w:val="25"/>
                            </w:rPr>
                            <w:t>abreviada</w:t>
                          </w:r>
                          <w:r>
                            <w:rPr>
                              <w:b/>
                              <w:spacing w:val="-11"/>
                              <w:sz w:val="25"/>
                            </w:rPr>
                            <w:t> </w:t>
                          </w:r>
                          <w:r>
                            <w:rPr>
                              <w:b/>
                              <w:spacing w:val="-4"/>
                              <w:sz w:val="25"/>
                            </w:rPr>
                            <w:t>del</w:t>
                          </w:r>
                          <w:r>
                            <w:rPr>
                              <w:b/>
                              <w:spacing w:val="-11"/>
                              <w:sz w:val="25"/>
                            </w:rPr>
                            <w:t> </w:t>
                          </w:r>
                          <w:r>
                            <w:rPr>
                              <w:b/>
                              <w:spacing w:val="-4"/>
                              <w:sz w:val="25"/>
                            </w:rPr>
                            <w:t>ejercicio</w:t>
                          </w:r>
                          <w:r>
                            <w:rPr>
                              <w:b/>
                              <w:spacing w:val="-11"/>
                              <w:sz w:val="25"/>
                            </w:rPr>
                            <w:t> </w:t>
                          </w:r>
                          <w:r>
                            <w:rPr>
                              <w:b/>
                              <w:spacing w:val="-4"/>
                              <w:sz w:val="25"/>
                            </w:rPr>
                            <w:t>anual</w:t>
                          </w:r>
                          <w:r>
                            <w:rPr>
                              <w:b/>
                              <w:spacing w:val="-11"/>
                              <w:sz w:val="25"/>
                            </w:rPr>
                            <w:t> </w:t>
                          </w:r>
                          <w:r>
                            <w:rPr>
                              <w:b/>
                              <w:spacing w:val="-4"/>
                              <w:sz w:val="25"/>
                            </w:rPr>
                            <w:t>terminado </w:t>
                          </w:r>
                          <w:r>
                            <w:rPr>
                              <w:b/>
                              <w:sz w:val="25"/>
                            </w:rPr>
                            <w:t>el 31 de diciembre de 2025</w:t>
                          </w:r>
                        </w:p>
                      </w:txbxContent>
                    </wps:txbx>
                    <wps:bodyPr wrap="square" lIns="0" tIns="0" rIns="0" bIns="0" rtlCol="0">
                      <a:noAutofit/>
                    </wps:bodyPr>
                  </wps:wsp>
                </a:graphicData>
              </a:graphic>
            </wp:anchor>
          </w:drawing>
        </mc:Choice>
        <mc:Fallback>
          <w:pict>
            <v:shape style="position:absolute;margin-left:180.160004pt;margin-top:33.718887pt;width:257.8pt;height:46.15pt;mso-position-horizontal-relative:page;mso-position-vertical-relative:page;z-index:-19238400" type="#_x0000_t202" id="docshape5" filled="false" stroked="false">
              <v:textbox inset="0,0,0,0">
                <w:txbxContent>
                  <w:p>
                    <w:pPr>
                      <w:spacing w:before="9"/>
                      <w:ind w:left="1" w:right="1" w:firstLine="0"/>
                      <w:jc w:val="center"/>
                      <w:rPr>
                        <w:b/>
                        <w:sz w:val="25"/>
                      </w:rPr>
                    </w:pPr>
                    <w:r>
                      <w:rPr>
                        <w:b/>
                        <w:sz w:val="25"/>
                      </w:rPr>
                      <w:t>MURCIA</w:t>
                    </w:r>
                    <w:r>
                      <w:rPr>
                        <w:b/>
                        <w:spacing w:val="4"/>
                        <w:sz w:val="25"/>
                      </w:rPr>
                      <w:t> </w:t>
                    </w:r>
                    <w:r>
                      <w:rPr>
                        <w:b/>
                        <w:sz w:val="25"/>
                      </w:rPr>
                      <w:t>ALTA</w:t>
                    </w:r>
                    <w:r>
                      <w:rPr>
                        <w:b/>
                        <w:spacing w:val="5"/>
                        <w:sz w:val="25"/>
                      </w:rPr>
                      <w:t> </w:t>
                    </w:r>
                    <w:r>
                      <w:rPr>
                        <w:b/>
                        <w:sz w:val="25"/>
                      </w:rPr>
                      <w:t>VELOCIDAD,</w:t>
                    </w:r>
                    <w:r>
                      <w:rPr>
                        <w:b/>
                        <w:spacing w:val="4"/>
                        <w:sz w:val="25"/>
                      </w:rPr>
                      <w:t> </w:t>
                    </w:r>
                    <w:r>
                      <w:rPr>
                        <w:b/>
                        <w:spacing w:val="-4"/>
                        <w:sz w:val="25"/>
                      </w:rPr>
                      <w:t>S.A.</w:t>
                    </w:r>
                  </w:p>
                  <w:p>
                    <w:pPr>
                      <w:spacing w:line="252" w:lineRule="auto" w:before="16"/>
                      <w:ind w:left="1" w:right="0" w:firstLine="0"/>
                      <w:jc w:val="center"/>
                      <w:rPr>
                        <w:b/>
                        <w:sz w:val="25"/>
                      </w:rPr>
                    </w:pPr>
                    <w:r>
                      <w:rPr>
                        <w:b/>
                        <w:spacing w:val="-4"/>
                        <w:sz w:val="25"/>
                      </w:rPr>
                      <w:t>Memoria</w:t>
                    </w:r>
                    <w:r>
                      <w:rPr>
                        <w:b/>
                        <w:spacing w:val="-11"/>
                        <w:sz w:val="25"/>
                      </w:rPr>
                      <w:t> </w:t>
                    </w:r>
                    <w:r>
                      <w:rPr>
                        <w:b/>
                        <w:spacing w:val="-4"/>
                        <w:sz w:val="25"/>
                      </w:rPr>
                      <w:t>abreviada</w:t>
                    </w:r>
                    <w:r>
                      <w:rPr>
                        <w:b/>
                        <w:spacing w:val="-11"/>
                        <w:sz w:val="25"/>
                      </w:rPr>
                      <w:t> </w:t>
                    </w:r>
                    <w:r>
                      <w:rPr>
                        <w:b/>
                        <w:spacing w:val="-4"/>
                        <w:sz w:val="25"/>
                      </w:rPr>
                      <w:t>del</w:t>
                    </w:r>
                    <w:r>
                      <w:rPr>
                        <w:b/>
                        <w:spacing w:val="-11"/>
                        <w:sz w:val="25"/>
                      </w:rPr>
                      <w:t> </w:t>
                    </w:r>
                    <w:r>
                      <w:rPr>
                        <w:b/>
                        <w:spacing w:val="-4"/>
                        <w:sz w:val="25"/>
                      </w:rPr>
                      <w:t>ejercicio</w:t>
                    </w:r>
                    <w:r>
                      <w:rPr>
                        <w:b/>
                        <w:spacing w:val="-11"/>
                        <w:sz w:val="25"/>
                      </w:rPr>
                      <w:t> </w:t>
                    </w:r>
                    <w:r>
                      <w:rPr>
                        <w:b/>
                        <w:spacing w:val="-4"/>
                        <w:sz w:val="25"/>
                      </w:rPr>
                      <w:t>anual</w:t>
                    </w:r>
                    <w:r>
                      <w:rPr>
                        <w:b/>
                        <w:spacing w:val="-11"/>
                        <w:sz w:val="25"/>
                      </w:rPr>
                      <w:t> </w:t>
                    </w:r>
                    <w:r>
                      <w:rPr>
                        <w:b/>
                        <w:spacing w:val="-4"/>
                        <w:sz w:val="25"/>
                      </w:rPr>
                      <w:t>terminado </w:t>
                    </w:r>
                    <w:r>
                      <w:rPr>
                        <w:b/>
                        <w:sz w:val="25"/>
                      </w:rPr>
                      <w:t>el 31 de diciembre de 2025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1355" w:hanging="360"/>
        <w:jc w:val="left"/>
      </w:pPr>
      <w:rPr>
        <w:rFonts w:hint="default" w:ascii="Times New Roman" w:hAnsi="Times New Roman" w:eastAsia="Times New Roman" w:cs="Times New Roman"/>
        <w:b w:val="0"/>
        <w:bCs w:val="0"/>
        <w:i w:val="0"/>
        <w:iCs w:val="0"/>
        <w:spacing w:val="0"/>
        <w:w w:val="99"/>
        <w:sz w:val="22"/>
        <w:szCs w:val="22"/>
        <w:lang w:val="es-ES" w:eastAsia="en-US" w:bidi="ar-SA"/>
      </w:rPr>
    </w:lvl>
    <w:lvl w:ilvl="1">
      <w:start w:val="0"/>
      <w:numFmt w:val="bullet"/>
      <w:lvlText w:val="•"/>
      <w:lvlJc w:val="left"/>
      <w:pPr>
        <w:ind w:left="2301" w:hanging="360"/>
      </w:pPr>
      <w:rPr>
        <w:rFonts w:hint="default"/>
        <w:lang w:val="es-ES" w:eastAsia="en-US" w:bidi="ar-SA"/>
      </w:rPr>
    </w:lvl>
    <w:lvl w:ilvl="2">
      <w:start w:val="0"/>
      <w:numFmt w:val="bullet"/>
      <w:lvlText w:val="•"/>
      <w:lvlJc w:val="left"/>
      <w:pPr>
        <w:ind w:left="3243" w:hanging="360"/>
      </w:pPr>
      <w:rPr>
        <w:rFonts w:hint="default"/>
        <w:lang w:val="es-ES" w:eastAsia="en-US" w:bidi="ar-SA"/>
      </w:rPr>
    </w:lvl>
    <w:lvl w:ilvl="3">
      <w:start w:val="0"/>
      <w:numFmt w:val="bullet"/>
      <w:lvlText w:val="•"/>
      <w:lvlJc w:val="left"/>
      <w:pPr>
        <w:ind w:left="4185" w:hanging="360"/>
      </w:pPr>
      <w:rPr>
        <w:rFonts w:hint="default"/>
        <w:lang w:val="es-ES" w:eastAsia="en-US" w:bidi="ar-SA"/>
      </w:rPr>
    </w:lvl>
    <w:lvl w:ilvl="4">
      <w:start w:val="0"/>
      <w:numFmt w:val="bullet"/>
      <w:lvlText w:val="•"/>
      <w:lvlJc w:val="left"/>
      <w:pPr>
        <w:ind w:left="5126" w:hanging="360"/>
      </w:pPr>
      <w:rPr>
        <w:rFonts w:hint="default"/>
        <w:lang w:val="es-ES" w:eastAsia="en-US" w:bidi="ar-SA"/>
      </w:rPr>
    </w:lvl>
    <w:lvl w:ilvl="5">
      <w:start w:val="0"/>
      <w:numFmt w:val="bullet"/>
      <w:lvlText w:val="•"/>
      <w:lvlJc w:val="left"/>
      <w:pPr>
        <w:ind w:left="6068" w:hanging="360"/>
      </w:pPr>
      <w:rPr>
        <w:rFonts w:hint="default"/>
        <w:lang w:val="es-ES" w:eastAsia="en-US" w:bidi="ar-SA"/>
      </w:rPr>
    </w:lvl>
    <w:lvl w:ilvl="6">
      <w:start w:val="0"/>
      <w:numFmt w:val="bullet"/>
      <w:lvlText w:val="•"/>
      <w:lvlJc w:val="left"/>
      <w:pPr>
        <w:ind w:left="7010" w:hanging="360"/>
      </w:pPr>
      <w:rPr>
        <w:rFonts w:hint="default"/>
        <w:lang w:val="es-ES" w:eastAsia="en-US" w:bidi="ar-SA"/>
      </w:rPr>
    </w:lvl>
    <w:lvl w:ilvl="7">
      <w:start w:val="0"/>
      <w:numFmt w:val="bullet"/>
      <w:lvlText w:val="•"/>
      <w:lvlJc w:val="left"/>
      <w:pPr>
        <w:ind w:left="7951" w:hanging="360"/>
      </w:pPr>
      <w:rPr>
        <w:rFonts w:hint="default"/>
        <w:lang w:val="es-ES" w:eastAsia="en-US" w:bidi="ar-SA"/>
      </w:rPr>
    </w:lvl>
    <w:lvl w:ilvl="8">
      <w:start w:val="0"/>
      <w:numFmt w:val="bullet"/>
      <w:lvlText w:val="•"/>
      <w:lvlJc w:val="left"/>
      <w:pPr>
        <w:ind w:left="8893" w:hanging="360"/>
      </w:pPr>
      <w:rPr>
        <w:rFonts w:hint="default"/>
        <w:lang w:val="es-ES" w:eastAsia="en-US" w:bidi="ar-SA"/>
      </w:rPr>
    </w:lvl>
  </w:abstractNum>
  <w:abstractNum w:abstractNumId="10">
    <w:multiLevelType w:val="hybridMultilevel"/>
    <w:lvl w:ilvl="0">
      <w:start w:val="9"/>
      <w:numFmt w:val="decimal"/>
      <w:lvlText w:val="%1)"/>
      <w:lvlJc w:val="left"/>
      <w:pPr>
        <w:ind w:left="710" w:hanging="360"/>
        <w:jc w:val="left"/>
      </w:pPr>
      <w:rPr>
        <w:rFonts w:hint="default" w:ascii="Times New Roman" w:hAnsi="Times New Roman" w:eastAsia="Times New Roman" w:cs="Times New Roman"/>
        <w:b/>
        <w:bCs/>
        <w:i w:val="0"/>
        <w:iCs w:val="0"/>
        <w:spacing w:val="0"/>
        <w:w w:val="99"/>
        <w:sz w:val="22"/>
        <w:szCs w:val="22"/>
        <w:lang w:val="es-ES" w:eastAsia="en-US" w:bidi="ar-SA"/>
      </w:rPr>
    </w:lvl>
    <w:lvl w:ilvl="1">
      <w:start w:val="1"/>
      <w:numFmt w:val="lowerLetter"/>
      <w:lvlText w:val="%2)"/>
      <w:lvlJc w:val="left"/>
      <w:pPr>
        <w:ind w:left="1355" w:hanging="360"/>
        <w:jc w:val="left"/>
      </w:pPr>
      <w:rPr>
        <w:rFonts w:hint="default"/>
        <w:spacing w:val="0"/>
        <w:w w:val="99"/>
        <w:lang w:val="es-ES" w:eastAsia="en-US" w:bidi="ar-SA"/>
      </w:rPr>
    </w:lvl>
    <w:lvl w:ilvl="2">
      <w:start w:val="0"/>
      <w:numFmt w:val="bullet"/>
      <w:lvlText w:val="•"/>
      <w:lvlJc w:val="left"/>
      <w:pPr>
        <w:ind w:left="1360" w:hanging="360"/>
      </w:pPr>
      <w:rPr>
        <w:rFonts w:hint="default"/>
        <w:lang w:val="es-ES" w:eastAsia="en-US" w:bidi="ar-SA"/>
      </w:rPr>
    </w:lvl>
    <w:lvl w:ilvl="3">
      <w:start w:val="0"/>
      <w:numFmt w:val="bullet"/>
      <w:lvlText w:val="•"/>
      <w:lvlJc w:val="left"/>
      <w:pPr>
        <w:ind w:left="2537" w:hanging="360"/>
      </w:pPr>
      <w:rPr>
        <w:rFonts w:hint="default"/>
        <w:lang w:val="es-ES" w:eastAsia="en-US" w:bidi="ar-SA"/>
      </w:rPr>
    </w:lvl>
    <w:lvl w:ilvl="4">
      <w:start w:val="0"/>
      <w:numFmt w:val="bullet"/>
      <w:lvlText w:val="•"/>
      <w:lvlJc w:val="left"/>
      <w:pPr>
        <w:ind w:left="3714" w:hanging="360"/>
      </w:pPr>
      <w:rPr>
        <w:rFonts w:hint="default"/>
        <w:lang w:val="es-ES" w:eastAsia="en-US" w:bidi="ar-SA"/>
      </w:rPr>
    </w:lvl>
    <w:lvl w:ilvl="5">
      <w:start w:val="0"/>
      <w:numFmt w:val="bullet"/>
      <w:lvlText w:val="•"/>
      <w:lvlJc w:val="left"/>
      <w:pPr>
        <w:ind w:left="4891" w:hanging="360"/>
      </w:pPr>
      <w:rPr>
        <w:rFonts w:hint="default"/>
        <w:lang w:val="es-ES" w:eastAsia="en-US" w:bidi="ar-SA"/>
      </w:rPr>
    </w:lvl>
    <w:lvl w:ilvl="6">
      <w:start w:val="0"/>
      <w:numFmt w:val="bullet"/>
      <w:lvlText w:val="•"/>
      <w:lvlJc w:val="left"/>
      <w:pPr>
        <w:ind w:left="6068" w:hanging="360"/>
      </w:pPr>
      <w:rPr>
        <w:rFonts w:hint="default"/>
        <w:lang w:val="es-ES" w:eastAsia="en-US" w:bidi="ar-SA"/>
      </w:rPr>
    </w:lvl>
    <w:lvl w:ilvl="7">
      <w:start w:val="0"/>
      <w:numFmt w:val="bullet"/>
      <w:lvlText w:val="•"/>
      <w:lvlJc w:val="left"/>
      <w:pPr>
        <w:ind w:left="7245" w:hanging="360"/>
      </w:pPr>
      <w:rPr>
        <w:rFonts w:hint="default"/>
        <w:lang w:val="es-ES" w:eastAsia="en-US" w:bidi="ar-SA"/>
      </w:rPr>
    </w:lvl>
    <w:lvl w:ilvl="8">
      <w:start w:val="0"/>
      <w:numFmt w:val="bullet"/>
      <w:lvlText w:val="•"/>
      <w:lvlJc w:val="left"/>
      <w:pPr>
        <w:ind w:left="8422" w:hanging="360"/>
      </w:pPr>
      <w:rPr>
        <w:rFonts w:hint="default"/>
        <w:lang w:val="es-ES" w:eastAsia="en-US" w:bidi="ar-SA"/>
      </w:rPr>
    </w:lvl>
  </w:abstractNum>
  <w:abstractNum w:abstractNumId="9">
    <w:multiLevelType w:val="hybridMultilevel"/>
    <w:lvl w:ilvl="0">
      <w:start w:val="1"/>
      <w:numFmt w:val="lowerLetter"/>
      <w:lvlText w:val="%1)"/>
      <w:lvlJc w:val="left"/>
      <w:pPr>
        <w:ind w:left="994" w:hanging="361"/>
        <w:jc w:val="left"/>
      </w:pPr>
      <w:rPr>
        <w:rFonts w:hint="default" w:ascii="Times New Roman" w:hAnsi="Times New Roman" w:eastAsia="Times New Roman" w:cs="Times New Roman"/>
        <w:b w:val="0"/>
        <w:bCs w:val="0"/>
        <w:i w:val="0"/>
        <w:iCs w:val="0"/>
        <w:spacing w:val="-1"/>
        <w:w w:val="99"/>
        <w:sz w:val="22"/>
        <w:szCs w:val="22"/>
        <w:lang w:val="es-ES" w:eastAsia="en-US" w:bidi="ar-SA"/>
      </w:rPr>
    </w:lvl>
    <w:lvl w:ilvl="1">
      <w:start w:val="0"/>
      <w:numFmt w:val="bullet"/>
      <w:lvlText w:val="•"/>
      <w:lvlJc w:val="left"/>
      <w:pPr>
        <w:ind w:left="1977" w:hanging="361"/>
      </w:pPr>
      <w:rPr>
        <w:rFonts w:hint="default"/>
        <w:lang w:val="es-ES" w:eastAsia="en-US" w:bidi="ar-SA"/>
      </w:rPr>
    </w:lvl>
    <w:lvl w:ilvl="2">
      <w:start w:val="0"/>
      <w:numFmt w:val="bullet"/>
      <w:lvlText w:val="•"/>
      <w:lvlJc w:val="left"/>
      <w:pPr>
        <w:ind w:left="2955" w:hanging="361"/>
      </w:pPr>
      <w:rPr>
        <w:rFonts w:hint="default"/>
        <w:lang w:val="es-ES" w:eastAsia="en-US" w:bidi="ar-SA"/>
      </w:rPr>
    </w:lvl>
    <w:lvl w:ilvl="3">
      <w:start w:val="0"/>
      <w:numFmt w:val="bullet"/>
      <w:lvlText w:val="•"/>
      <w:lvlJc w:val="left"/>
      <w:pPr>
        <w:ind w:left="3933" w:hanging="361"/>
      </w:pPr>
      <w:rPr>
        <w:rFonts w:hint="default"/>
        <w:lang w:val="es-ES" w:eastAsia="en-US" w:bidi="ar-SA"/>
      </w:rPr>
    </w:lvl>
    <w:lvl w:ilvl="4">
      <w:start w:val="0"/>
      <w:numFmt w:val="bullet"/>
      <w:lvlText w:val="•"/>
      <w:lvlJc w:val="left"/>
      <w:pPr>
        <w:ind w:left="4910" w:hanging="361"/>
      </w:pPr>
      <w:rPr>
        <w:rFonts w:hint="default"/>
        <w:lang w:val="es-ES" w:eastAsia="en-US" w:bidi="ar-SA"/>
      </w:rPr>
    </w:lvl>
    <w:lvl w:ilvl="5">
      <w:start w:val="0"/>
      <w:numFmt w:val="bullet"/>
      <w:lvlText w:val="•"/>
      <w:lvlJc w:val="left"/>
      <w:pPr>
        <w:ind w:left="5888" w:hanging="361"/>
      </w:pPr>
      <w:rPr>
        <w:rFonts w:hint="default"/>
        <w:lang w:val="es-ES" w:eastAsia="en-US" w:bidi="ar-SA"/>
      </w:rPr>
    </w:lvl>
    <w:lvl w:ilvl="6">
      <w:start w:val="0"/>
      <w:numFmt w:val="bullet"/>
      <w:lvlText w:val="•"/>
      <w:lvlJc w:val="left"/>
      <w:pPr>
        <w:ind w:left="6866" w:hanging="361"/>
      </w:pPr>
      <w:rPr>
        <w:rFonts w:hint="default"/>
        <w:lang w:val="es-ES" w:eastAsia="en-US" w:bidi="ar-SA"/>
      </w:rPr>
    </w:lvl>
    <w:lvl w:ilvl="7">
      <w:start w:val="0"/>
      <w:numFmt w:val="bullet"/>
      <w:lvlText w:val="•"/>
      <w:lvlJc w:val="left"/>
      <w:pPr>
        <w:ind w:left="7843" w:hanging="361"/>
      </w:pPr>
      <w:rPr>
        <w:rFonts w:hint="default"/>
        <w:lang w:val="es-ES" w:eastAsia="en-US" w:bidi="ar-SA"/>
      </w:rPr>
    </w:lvl>
    <w:lvl w:ilvl="8">
      <w:start w:val="0"/>
      <w:numFmt w:val="bullet"/>
      <w:lvlText w:val="•"/>
      <w:lvlJc w:val="left"/>
      <w:pPr>
        <w:ind w:left="8821" w:hanging="361"/>
      </w:pPr>
      <w:rPr>
        <w:rFonts w:hint="default"/>
        <w:lang w:val="es-ES" w:eastAsia="en-US" w:bidi="ar-SA"/>
      </w:rPr>
    </w:lvl>
  </w:abstractNum>
  <w:abstractNum w:abstractNumId="8">
    <w:multiLevelType w:val="hybridMultilevel"/>
    <w:lvl w:ilvl="0">
      <w:start w:val="1"/>
      <w:numFmt w:val="decimal"/>
      <w:lvlText w:val="%1."/>
      <w:lvlJc w:val="left"/>
      <w:pPr>
        <w:ind w:left="1651" w:hanging="221"/>
        <w:jc w:val="left"/>
      </w:pPr>
      <w:rPr>
        <w:rFonts w:hint="default" w:ascii="Times New Roman" w:hAnsi="Times New Roman" w:eastAsia="Times New Roman" w:cs="Times New Roman"/>
        <w:b w:val="0"/>
        <w:bCs w:val="0"/>
        <w:i w:val="0"/>
        <w:iCs w:val="0"/>
        <w:spacing w:val="0"/>
        <w:w w:val="99"/>
        <w:sz w:val="22"/>
        <w:szCs w:val="22"/>
        <w:lang w:val="es-ES" w:eastAsia="en-US" w:bidi="ar-SA"/>
      </w:rPr>
    </w:lvl>
    <w:lvl w:ilvl="1">
      <w:start w:val="0"/>
      <w:numFmt w:val="bullet"/>
      <w:lvlText w:val="•"/>
      <w:lvlJc w:val="left"/>
      <w:pPr>
        <w:ind w:left="2571" w:hanging="221"/>
      </w:pPr>
      <w:rPr>
        <w:rFonts w:hint="default"/>
        <w:lang w:val="es-ES" w:eastAsia="en-US" w:bidi="ar-SA"/>
      </w:rPr>
    </w:lvl>
    <w:lvl w:ilvl="2">
      <w:start w:val="0"/>
      <w:numFmt w:val="bullet"/>
      <w:lvlText w:val="•"/>
      <w:lvlJc w:val="left"/>
      <w:pPr>
        <w:ind w:left="3483" w:hanging="221"/>
      </w:pPr>
      <w:rPr>
        <w:rFonts w:hint="default"/>
        <w:lang w:val="es-ES" w:eastAsia="en-US" w:bidi="ar-SA"/>
      </w:rPr>
    </w:lvl>
    <w:lvl w:ilvl="3">
      <w:start w:val="0"/>
      <w:numFmt w:val="bullet"/>
      <w:lvlText w:val="•"/>
      <w:lvlJc w:val="left"/>
      <w:pPr>
        <w:ind w:left="4395" w:hanging="221"/>
      </w:pPr>
      <w:rPr>
        <w:rFonts w:hint="default"/>
        <w:lang w:val="es-ES" w:eastAsia="en-US" w:bidi="ar-SA"/>
      </w:rPr>
    </w:lvl>
    <w:lvl w:ilvl="4">
      <w:start w:val="0"/>
      <w:numFmt w:val="bullet"/>
      <w:lvlText w:val="•"/>
      <w:lvlJc w:val="left"/>
      <w:pPr>
        <w:ind w:left="5306" w:hanging="221"/>
      </w:pPr>
      <w:rPr>
        <w:rFonts w:hint="default"/>
        <w:lang w:val="es-ES" w:eastAsia="en-US" w:bidi="ar-SA"/>
      </w:rPr>
    </w:lvl>
    <w:lvl w:ilvl="5">
      <w:start w:val="0"/>
      <w:numFmt w:val="bullet"/>
      <w:lvlText w:val="•"/>
      <w:lvlJc w:val="left"/>
      <w:pPr>
        <w:ind w:left="6218" w:hanging="221"/>
      </w:pPr>
      <w:rPr>
        <w:rFonts w:hint="default"/>
        <w:lang w:val="es-ES" w:eastAsia="en-US" w:bidi="ar-SA"/>
      </w:rPr>
    </w:lvl>
    <w:lvl w:ilvl="6">
      <w:start w:val="0"/>
      <w:numFmt w:val="bullet"/>
      <w:lvlText w:val="•"/>
      <w:lvlJc w:val="left"/>
      <w:pPr>
        <w:ind w:left="7130" w:hanging="221"/>
      </w:pPr>
      <w:rPr>
        <w:rFonts w:hint="default"/>
        <w:lang w:val="es-ES" w:eastAsia="en-US" w:bidi="ar-SA"/>
      </w:rPr>
    </w:lvl>
    <w:lvl w:ilvl="7">
      <w:start w:val="0"/>
      <w:numFmt w:val="bullet"/>
      <w:lvlText w:val="•"/>
      <w:lvlJc w:val="left"/>
      <w:pPr>
        <w:ind w:left="8041" w:hanging="221"/>
      </w:pPr>
      <w:rPr>
        <w:rFonts w:hint="default"/>
        <w:lang w:val="es-ES" w:eastAsia="en-US" w:bidi="ar-SA"/>
      </w:rPr>
    </w:lvl>
    <w:lvl w:ilvl="8">
      <w:start w:val="0"/>
      <w:numFmt w:val="bullet"/>
      <w:lvlText w:val="•"/>
      <w:lvlJc w:val="left"/>
      <w:pPr>
        <w:ind w:left="8953" w:hanging="221"/>
      </w:pPr>
      <w:rPr>
        <w:rFonts w:hint="default"/>
        <w:lang w:val="es-ES" w:eastAsia="en-US" w:bidi="ar-SA"/>
      </w:rPr>
    </w:lvl>
  </w:abstractNum>
  <w:abstractNum w:abstractNumId="7">
    <w:multiLevelType w:val="hybridMultilevel"/>
    <w:lvl w:ilvl="0">
      <w:start w:val="0"/>
      <w:numFmt w:val="bullet"/>
      <w:lvlText w:val="-"/>
      <w:lvlJc w:val="left"/>
      <w:pPr>
        <w:ind w:left="1705" w:hanging="446"/>
      </w:pPr>
      <w:rPr>
        <w:rFonts w:hint="default" w:ascii="Times New Roman" w:hAnsi="Times New Roman" w:eastAsia="Times New Roman" w:cs="Times New Roman"/>
        <w:b w:val="0"/>
        <w:bCs w:val="0"/>
        <w:i w:val="0"/>
        <w:iCs w:val="0"/>
        <w:spacing w:val="0"/>
        <w:w w:val="99"/>
        <w:sz w:val="22"/>
        <w:szCs w:val="22"/>
        <w:lang w:val="es-ES" w:eastAsia="en-US" w:bidi="ar-SA"/>
      </w:rPr>
    </w:lvl>
    <w:lvl w:ilvl="1">
      <w:start w:val="0"/>
      <w:numFmt w:val="bullet"/>
      <w:lvlText w:val="•"/>
      <w:lvlJc w:val="left"/>
      <w:pPr>
        <w:ind w:left="2607" w:hanging="446"/>
      </w:pPr>
      <w:rPr>
        <w:rFonts w:hint="default"/>
        <w:lang w:val="es-ES" w:eastAsia="en-US" w:bidi="ar-SA"/>
      </w:rPr>
    </w:lvl>
    <w:lvl w:ilvl="2">
      <w:start w:val="0"/>
      <w:numFmt w:val="bullet"/>
      <w:lvlText w:val="•"/>
      <w:lvlJc w:val="left"/>
      <w:pPr>
        <w:ind w:left="3515" w:hanging="446"/>
      </w:pPr>
      <w:rPr>
        <w:rFonts w:hint="default"/>
        <w:lang w:val="es-ES" w:eastAsia="en-US" w:bidi="ar-SA"/>
      </w:rPr>
    </w:lvl>
    <w:lvl w:ilvl="3">
      <w:start w:val="0"/>
      <w:numFmt w:val="bullet"/>
      <w:lvlText w:val="•"/>
      <w:lvlJc w:val="left"/>
      <w:pPr>
        <w:ind w:left="4423" w:hanging="446"/>
      </w:pPr>
      <w:rPr>
        <w:rFonts w:hint="default"/>
        <w:lang w:val="es-ES" w:eastAsia="en-US" w:bidi="ar-SA"/>
      </w:rPr>
    </w:lvl>
    <w:lvl w:ilvl="4">
      <w:start w:val="0"/>
      <w:numFmt w:val="bullet"/>
      <w:lvlText w:val="•"/>
      <w:lvlJc w:val="left"/>
      <w:pPr>
        <w:ind w:left="5330" w:hanging="446"/>
      </w:pPr>
      <w:rPr>
        <w:rFonts w:hint="default"/>
        <w:lang w:val="es-ES" w:eastAsia="en-US" w:bidi="ar-SA"/>
      </w:rPr>
    </w:lvl>
    <w:lvl w:ilvl="5">
      <w:start w:val="0"/>
      <w:numFmt w:val="bullet"/>
      <w:lvlText w:val="•"/>
      <w:lvlJc w:val="left"/>
      <w:pPr>
        <w:ind w:left="6238" w:hanging="446"/>
      </w:pPr>
      <w:rPr>
        <w:rFonts w:hint="default"/>
        <w:lang w:val="es-ES" w:eastAsia="en-US" w:bidi="ar-SA"/>
      </w:rPr>
    </w:lvl>
    <w:lvl w:ilvl="6">
      <w:start w:val="0"/>
      <w:numFmt w:val="bullet"/>
      <w:lvlText w:val="•"/>
      <w:lvlJc w:val="left"/>
      <w:pPr>
        <w:ind w:left="7146" w:hanging="446"/>
      </w:pPr>
      <w:rPr>
        <w:rFonts w:hint="default"/>
        <w:lang w:val="es-ES" w:eastAsia="en-US" w:bidi="ar-SA"/>
      </w:rPr>
    </w:lvl>
    <w:lvl w:ilvl="7">
      <w:start w:val="0"/>
      <w:numFmt w:val="bullet"/>
      <w:lvlText w:val="•"/>
      <w:lvlJc w:val="left"/>
      <w:pPr>
        <w:ind w:left="8053" w:hanging="446"/>
      </w:pPr>
      <w:rPr>
        <w:rFonts w:hint="default"/>
        <w:lang w:val="es-ES" w:eastAsia="en-US" w:bidi="ar-SA"/>
      </w:rPr>
    </w:lvl>
    <w:lvl w:ilvl="8">
      <w:start w:val="0"/>
      <w:numFmt w:val="bullet"/>
      <w:lvlText w:val="•"/>
      <w:lvlJc w:val="left"/>
      <w:pPr>
        <w:ind w:left="8961" w:hanging="446"/>
      </w:pPr>
      <w:rPr>
        <w:rFonts w:hint="default"/>
        <w:lang w:val="es-ES" w:eastAsia="en-US" w:bidi="ar-SA"/>
      </w:rPr>
    </w:lvl>
  </w:abstractNum>
  <w:abstractNum w:abstractNumId="6">
    <w:multiLevelType w:val="hybridMultilevel"/>
    <w:lvl w:ilvl="0">
      <w:start w:val="0"/>
      <w:numFmt w:val="bullet"/>
      <w:lvlText w:val=""/>
      <w:lvlJc w:val="left"/>
      <w:pPr>
        <w:ind w:left="2425" w:hanging="360"/>
      </w:pPr>
      <w:rPr>
        <w:rFonts w:hint="default" w:ascii="Wingdings" w:hAnsi="Wingdings" w:eastAsia="Wingdings" w:cs="Wingdings"/>
        <w:b w:val="0"/>
        <w:bCs w:val="0"/>
        <w:i w:val="0"/>
        <w:iCs w:val="0"/>
        <w:spacing w:val="0"/>
        <w:w w:val="99"/>
        <w:sz w:val="22"/>
        <w:szCs w:val="22"/>
        <w:lang w:val="es-ES" w:eastAsia="en-US" w:bidi="ar-SA"/>
      </w:rPr>
    </w:lvl>
    <w:lvl w:ilvl="1">
      <w:start w:val="0"/>
      <w:numFmt w:val="bullet"/>
      <w:lvlText w:val="•"/>
      <w:lvlJc w:val="left"/>
      <w:pPr>
        <w:ind w:left="3255" w:hanging="360"/>
      </w:pPr>
      <w:rPr>
        <w:rFonts w:hint="default"/>
        <w:lang w:val="es-ES" w:eastAsia="en-US" w:bidi="ar-SA"/>
      </w:rPr>
    </w:lvl>
    <w:lvl w:ilvl="2">
      <w:start w:val="0"/>
      <w:numFmt w:val="bullet"/>
      <w:lvlText w:val="•"/>
      <w:lvlJc w:val="left"/>
      <w:pPr>
        <w:ind w:left="4091" w:hanging="360"/>
      </w:pPr>
      <w:rPr>
        <w:rFonts w:hint="default"/>
        <w:lang w:val="es-ES" w:eastAsia="en-US" w:bidi="ar-SA"/>
      </w:rPr>
    </w:lvl>
    <w:lvl w:ilvl="3">
      <w:start w:val="0"/>
      <w:numFmt w:val="bullet"/>
      <w:lvlText w:val="•"/>
      <w:lvlJc w:val="left"/>
      <w:pPr>
        <w:ind w:left="4927" w:hanging="360"/>
      </w:pPr>
      <w:rPr>
        <w:rFonts w:hint="default"/>
        <w:lang w:val="es-ES" w:eastAsia="en-US" w:bidi="ar-SA"/>
      </w:rPr>
    </w:lvl>
    <w:lvl w:ilvl="4">
      <w:start w:val="0"/>
      <w:numFmt w:val="bullet"/>
      <w:lvlText w:val="•"/>
      <w:lvlJc w:val="left"/>
      <w:pPr>
        <w:ind w:left="5762" w:hanging="360"/>
      </w:pPr>
      <w:rPr>
        <w:rFonts w:hint="default"/>
        <w:lang w:val="es-ES" w:eastAsia="en-US" w:bidi="ar-SA"/>
      </w:rPr>
    </w:lvl>
    <w:lvl w:ilvl="5">
      <w:start w:val="0"/>
      <w:numFmt w:val="bullet"/>
      <w:lvlText w:val="•"/>
      <w:lvlJc w:val="left"/>
      <w:pPr>
        <w:ind w:left="6598" w:hanging="360"/>
      </w:pPr>
      <w:rPr>
        <w:rFonts w:hint="default"/>
        <w:lang w:val="es-ES" w:eastAsia="en-US" w:bidi="ar-SA"/>
      </w:rPr>
    </w:lvl>
    <w:lvl w:ilvl="6">
      <w:start w:val="0"/>
      <w:numFmt w:val="bullet"/>
      <w:lvlText w:val="•"/>
      <w:lvlJc w:val="left"/>
      <w:pPr>
        <w:ind w:left="7434" w:hanging="360"/>
      </w:pPr>
      <w:rPr>
        <w:rFonts w:hint="default"/>
        <w:lang w:val="es-ES" w:eastAsia="en-US" w:bidi="ar-SA"/>
      </w:rPr>
    </w:lvl>
    <w:lvl w:ilvl="7">
      <w:start w:val="0"/>
      <w:numFmt w:val="bullet"/>
      <w:lvlText w:val="•"/>
      <w:lvlJc w:val="left"/>
      <w:pPr>
        <w:ind w:left="8269" w:hanging="360"/>
      </w:pPr>
      <w:rPr>
        <w:rFonts w:hint="default"/>
        <w:lang w:val="es-ES" w:eastAsia="en-US" w:bidi="ar-SA"/>
      </w:rPr>
    </w:lvl>
    <w:lvl w:ilvl="8">
      <w:start w:val="0"/>
      <w:numFmt w:val="bullet"/>
      <w:lvlText w:val="•"/>
      <w:lvlJc w:val="left"/>
      <w:pPr>
        <w:ind w:left="9105" w:hanging="360"/>
      </w:pPr>
      <w:rPr>
        <w:rFonts w:hint="default"/>
        <w:lang w:val="es-ES" w:eastAsia="en-US" w:bidi="ar-SA"/>
      </w:rPr>
    </w:lvl>
  </w:abstractNum>
  <w:abstractNum w:abstractNumId="5">
    <w:multiLevelType w:val="hybridMultilevel"/>
    <w:lvl w:ilvl="0">
      <w:start w:val="0"/>
      <w:numFmt w:val="bullet"/>
      <w:lvlText w:val="-"/>
      <w:lvlJc w:val="left"/>
      <w:pPr>
        <w:ind w:left="2270" w:hanging="142"/>
      </w:pPr>
      <w:rPr>
        <w:rFonts w:hint="default" w:ascii="Times New Roman" w:hAnsi="Times New Roman" w:eastAsia="Times New Roman" w:cs="Times New Roman"/>
        <w:b w:val="0"/>
        <w:bCs w:val="0"/>
        <w:i w:val="0"/>
        <w:iCs w:val="0"/>
        <w:spacing w:val="0"/>
        <w:w w:val="99"/>
        <w:sz w:val="22"/>
        <w:szCs w:val="22"/>
        <w:lang w:val="es-ES" w:eastAsia="en-US" w:bidi="ar-SA"/>
      </w:rPr>
    </w:lvl>
    <w:lvl w:ilvl="1">
      <w:start w:val="0"/>
      <w:numFmt w:val="bullet"/>
      <w:lvlText w:val="•"/>
      <w:lvlJc w:val="left"/>
      <w:pPr>
        <w:ind w:left="3129" w:hanging="142"/>
      </w:pPr>
      <w:rPr>
        <w:rFonts w:hint="default"/>
        <w:lang w:val="es-ES" w:eastAsia="en-US" w:bidi="ar-SA"/>
      </w:rPr>
    </w:lvl>
    <w:lvl w:ilvl="2">
      <w:start w:val="0"/>
      <w:numFmt w:val="bullet"/>
      <w:lvlText w:val="•"/>
      <w:lvlJc w:val="left"/>
      <w:pPr>
        <w:ind w:left="3979" w:hanging="142"/>
      </w:pPr>
      <w:rPr>
        <w:rFonts w:hint="default"/>
        <w:lang w:val="es-ES" w:eastAsia="en-US" w:bidi="ar-SA"/>
      </w:rPr>
    </w:lvl>
    <w:lvl w:ilvl="3">
      <w:start w:val="0"/>
      <w:numFmt w:val="bullet"/>
      <w:lvlText w:val="•"/>
      <w:lvlJc w:val="left"/>
      <w:pPr>
        <w:ind w:left="4829" w:hanging="142"/>
      </w:pPr>
      <w:rPr>
        <w:rFonts w:hint="default"/>
        <w:lang w:val="es-ES" w:eastAsia="en-US" w:bidi="ar-SA"/>
      </w:rPr>
    </w:lvl>
    <w:lvl w:ilvl="4">
      <w:start w:val="0"/>
      <w:numFmt w:val="bullet"/>
      <w:lvlText w:val="•"/>
      <w:lvlJc w:val="left"/>
      <w:pPr>
        <w:ind w:left="5678" w:hanging="142"/>
      </w:pPr>
      <w:rPr>
        <w:rFonts w:hint="default"/>
        <w:lang w:val="es-ES" w:eastAsia="en-US" w:bidi="ar-SA"/>
      </w:rPr>
    </w:lvl>
    <w:lvl w:ilvl="5">
      <w:start w:val="0"/>
      <w:numFmt w:val="bullet"/>
      <w:lvlText w:val="•"/>
      <w:lvlJc w:val="left"/>
      <w:pPr>
        <w:ind w:left="6528" w:hanging="142"/>
      </w:pPr>
      <w:rPr>
        <w:rFonts w:hint="default"/>
        <w:lang w:val="es-ES" w:eastAsia="en-US" w:bidi="ar-SA"/>
      </w:rPr>
    </w:lvl>
    <w:lvl w:ilvl="6">
      <w:start w:val="0"/>
      <w:numFmt w:val="bullet"/>
      <w:lvlText w:val="•"/>
      <w:lvlJc w:val="left"/>
      <w:pPr>
        <w:ind w:left="7378" w:hanging="142"/>
      </w:pPr>
      <w:rPr>
        <w:rFonts w:hint="default"/>
        <w:lang w:val="es-ES" w:eastAsia="en-US" w:bidi="ar-SA"/>
      </w:rPr>
    </w:lvl>
    <w:lvl w:ilvl="7">
      <w:start w:val="0"/>
      <w:numFmt w:val="bullet"/>
      <w:lvlText w:val="•"/>
      <w:lvlJc w:val="left"/>
      <w:pPr>
        <w:ind w:left="8227" w:hanging="142"/>
      </w:pPr>
      <w:rPr>
        <w:rFonts w:hint="default"/>
        <w:lang w:val="es-ES" w:eastAsia="en-US" w:bidi="ar-SA"/>
      </w:rPr>
    </w:lvl>
    <w:lvl w:ilvl="8">
      <w:start w:val="0"/>
      <w:numFmt w:val="bullet"/>
      <w:lvlText w:val="•"/>
      <w:lvlJc w:val="left"/>
      <w:pPr>
        <w:ind w:left="9077" w:hanging="142"/>
      </w:pPr>
      <w:rPr>
        <w:rFonts w:hint="default"/>
        <w:lang w:val="es-ES" w:eastAsia="en-US" w:bidi="ar-SA"/>
      </w:rPr>
    </w:lvl>
  </w:abstractNum>
  <w:abstractNum w:abstractNumId="4">
    <w:multiLevelType w:val="hybridMultilevel"/>
    <w:lvl w:ilvl="0">
      <w:start w:val="4"/>
      <w:numFmt w:val="lowerLetter"/>
      <w:lvlText w:val="%1)"/>
      <w:lvlJc w:val="left"/>
      <w:pPr>
        <w:ind w:left="1277" w:hanging="282"/>
        <w:jc w:val="left"/>
      </w:pPr>
      <w:rPr>
        <w:rFonts w:hint="default" w:ascii="Times New Roman" w:hAnsi="Times New Roman" w:eastAsia="Times New Roman" w:cs="Times New Roman"/>
        <w:b w:val="0"/>
        <w:bCs w:val="0"/>
        <w:i w:val="0"/>
        <w:iCs w:val="0"/>
        <w:spacing w:val="-3"/>
        <w:w w:val="99"/>
        <w:sz w:val="22"/>
        <w:szCs w:val="22"/>
        <w:lang w:val="es-ES" w:eastAsia="en-US" w:bidi="ar-SA"/>
      </w:rPr>
    </w:lvl>
    <w:lvl w:ilvl="1">
      <w:start w:val="1"/>
      <w:numFmt w:val="decimal"/>
      <w:lvlText w:val="%1.%2)"/>
      <w:lvlJc w:val="left"/>
      <w:pPr>
        <w:ind w:left="1687" w:hanging="410"/>
        <w:jc w:val="left"/>
      </w:pPr>
      <w:rPr>
        <w:rFonts w:hint="default" w:ascii="Times New Roman" w:hAnsi="Times New Roman" w:eastAsia="Times New Roman" w:cs="Times New Roman"/>
        <w:b w:val="0"/>
        <w:bCs w:val="0"/>
        <w:i w:val="0"/>
        <w:iCs w:val="0"/>
        <w:spacing w:val="0"/>
        <w:w w:val="99"/>
        <w:sz w:val="22"/>
        <w:szCs w:val="22"/>
        <w:lang w:val="es-ES" w:eastAsia="en-US" w:bidi="ar-SA"/>
      </w:rPr>
    </w:lvl>
    <w:lvl w:ilvl="2">
      <w:start w:val="1"/>
      <w:numFmt w:val="decimal"/>
      <w:lvlText w:val="%1.%2.%3)"/>
      <w:lvlJc w:val="left"/>
      <w:pPr>
        <w:ind w:left="2266" w:hanging="563"/>
        <w:jc w:val="left"/>
      </w:pPr>
      <w:rPr>
        <w:rFonts w:hint="default" w:ascii="Times New Roman" w:hAnsi="Times New Roman" w:eastAsia="Times New Roman" w:cs="Times New Roman"/>
        <w:b w:val="0"/>
        <w:bCs w:val="0"/>
        <w:i w:val="0"/>
        <w:iCs w:val="0"/>
        <w:spacing w:val="0"/>
        <w:w w:val="99"/>
        <w:sz w:val="22"/>
        <w:szCs w:val="22"/>
        <w:lang w:val="es-ES" w:eastAsia="en-US" w:bidi="ar-SA"/>
      </w:rPr>
    </w:lvl>
    <w:lvl w:ilvl="3">
      <w:start w:val="0"/>
      <w:numFmt w:val="bullet"/>
      <w:lvlText w:val="•"/>
      <w:lvlJc w:val="left"/>
      <w:pPr>
        <w:ind w:left="2340" w:hanging="563"/>
      </w:pPr>
      <w:rPr>
        <w:rFonts w:hint="default"/>
        <w:lang w:val="es-ES" w:eastAsia="en-US" w:bidi="ar-SA"/>
      </w:rPr>
    </w:lvl>
    <w:lvl w:ilvl="4">
      <w:start w:val="0"/>
      <w:numFmt w:val="bullet"/>
      <w:lvlText w:val="•"/>
      <w:lvlJc w:val="left"/>
      <w:pPr>
        <w:ind w:left="3545" w:hanging="563"/>
      </w:pPr>
      <w:rPr>
        <w:rFonts w:hint="default"/>
        <w:lang w:val="es-ES" w:eastAsia="en-US" w:bidi="ar-SA"/>
      </w:rPr>
    </w:lvl>
    <w:lvl w:ilvl="5">
      <w:start w:val="0"/>
      <w:numFmt w:val="bullet"/>
      <w:lvlText w:val="•"/>
      <w:lvlJc w:val="left"/>
      <w:pPr>
        <w:ind w:left="4750" w:hanging="563"/>
      </w:pPr>
      <w:rPr>
        <w:rFonts w:hint="default"/>
        <w:lang w:val="es-ES" w:eastAsia="en-US" w:bidi="ar-SA"/>
      </w:rPr>
    </w:lvl>
    <w:lvl w:ilvl="6">
      <w:start w:val="0"/>
      <w:numFmt w:val="bullet"/>
      <w:lvlText w:val="•"/>
      <w:lvlJc w:val="left"/>
      <w:pPr>
        <w:ind w:left="5955" w:hanging="563"/>
      </w:pPr>
      <w:rPr>
        <w:rFonts w:hint="default"/>
        <w:lang w:val="es-ES" w:eastAsia="en-US" w:bidi="ar-SA"/>
      </w:rPr>
    </w:lvl>
    <w:lvl w:ilvl="7">
      <w:start w:val="0"/>
      <w:numFmt w:val="bullet"/>
      <w:lvlText w:val="•"/>
      <w:lvlJc w:val="left"/>
      <w:pPr>
        <w:ind w:left="7161" w:hanging="563"/>
      </w:pPr>
      <w:rPr>
        <w:rFonts w:hint="default"/>
        <w:lang w:val="es-ES" w:eastAsia="en-US" w:bidi="ar-SA"/>
      </w:rPr>
    </w:lvl>
    <w:lvl w:ilvl="8">
      <w:start w:val="0"/>
      <w:numFmt w:val="bullet"/>
      <w:lvlText w:val="•"/>
      <w:lvlJc w:val="left"/>
      <w:pPr>
        <w:ind w:left="8366" w:hanging="563"/>
      </w:pPr>
      <w:rPr>
        <w:rFonts w:hint="default"/>
        <w:lang w:val="es-ES" w:eastAsia="en-US" w:bidi="ar-SA"/>
      </w:rPr>
    </w:lvl>
  </w:abstractNum>
  <w:abstractNum w:abstractNumId="3">
    <w:multiLevelType w:val="hybridMultilevel"/>
    <w:lvl w:ilvl="0">
      <w:start w:val="0"/>
      <w:numFmt w:val="bullet"/>
      <w:lvlText w:val="-"/>
      <w:lvlJc w:val="left"/>
      <w:pPr>
        <w:ind w:left="1562" w:hanging="285"/>
      </w:pPr>
      <w:rPr>
        <w:rFonts w:hint="default" w:ascii="Times New Roman" w:hAnsi="Times New Roman" w:eastAsia="Times New Roman" w:cs="Times New Roman"/>
        <w:b w:val="0"/>
        <w:bCs w:val="0"/>
        <w:i w:val="0"/>
        <w:iCs w:val="0"/>
        <w:spacing w:val="0"/>
        <w:w w:val="99"/>
        <w:sz w:val="22"/>
        <w:szCs w:val="22"/>
        <w:lang w:val="es-ES" w:eastAsia="en-US" w:bidi="ar-SA"/>
      </w:rPr>
    </w:lvl>
    <w:lvl w:ilvl="1">
      <w:start w:val="0"/>
      <w:numFmt w:val="bullet"/>
      <w:lvlText w:val="•"/>
      <w:lvlJc w:val="left"/>
      <w:pPr>
        <w:ind w:left="2481" w:hanging="285"/>
      </w:pPr>
      <w:rPr>
        <w:rFonts w:hint="default"/>
        <w:lang w:val="es-ES" w:eastAsia="en-US" w:bidi="ar-SA"/>
      </w:rPr>
    </w:lvl>
    <w:lvl w:ilvl="2">
      <w:start w:val="0"/>
      <w:numFmt w:val="bullet"/>
      <w:lvlText w:val="•"/>
      <w:lvlJc w:val="left"/>
      <w:pPr>
        <w:ind w:left="3403" w:hanging="285"/>
      </w:pPr>
      <w:rPr>
        <w:rFonts w:hint="default"/>
        <w:lang w:val="es-ES" w:eastAsia="en-US" w:bidi="ar-SA"/>
      </w:rPr>
    </w:lvl>
    <w:lvl w:ilvl="3">
      <w:start w:val="0"/>
      <w:numFmt w:val="bullet"/>
      <w:lvlText w:val="•"/>
      <w:lvlJc w:val="left"/>
      <w:pPr>
        <w:ind w:left="4325" w:hanging="285"/>
      </w:pPr>
      <w:rPr>
        <w:rFonts w:hint="default"/>
        <w:lang w:val="es-ES" w:eastAsia="en-US" w:bidi="ar-SA"/>
      </w:rPr>
    </w:lvl>
    <w:lvl w:ilvl="4">
      <w:start w:val="0"/>
      <w:numFmt w:val="bullet"/>
      <w:lvlText w:val="•"/>
      <w:lvlJc w:val="left"/>
      <w:pPr>
        <w:ind w:left="5246" w:hanging="285"/>
      </w:pPr>
      <w:rPr>
        <w:rFonts w:hint="default"/>
        <w:lang w:val="es-ES" w:eastAsia="en-US" w:bidi="ar-SA"/>
      </w:rPr>
    </w:lvl>
    <w:lvl w:ilvl="5">
      <w:start w:val="0"/>
      <w:numFmt w:val="bullet"/>
      <w:lvlText w:val="•"/>
      <w:lvlJc w:val="left"/>
      <w:pPr>
        <w:ind w:left="6168" w:hanging="285"/>
      </w:pPr>
      <w:rPr>
        <w:rFonts w:hint="default"/>
        <w:lang w:val="es-ES" w:eastAsia="en-US" w:bidi="ar-SA"/>
      </w:rPr>
    </w:lvl>
    <w:lvl w:ilvl="6">
      <w:start w:val="0"/>
      <w:numFmt w:val="bullet"/>
      <w:lvlText w:val="•"/>
      <w:lvlJc w:val="left"/>
      <w:pPr>
        <w:ind w:left="7090" w:hanging="285"/>
      </w:pPr>
      <w:rPr>
        <w:rFonts w:hint="default"/>
        <w:lang w:val="es-ES" w:eastAsia="en-US" w:bidi="ar-SA"/>
      </w:rPr>
    </w:lvl>
    <w:lvl w:ilvl="7">
      <w:start w:val="0"/>
      <w:numFmt w:val="bullet"/>
      <w:lvlText w:val="•"/>
      <w:lvlJc w:val="left"/>
      <w:pPr>
        <w:ind w:left="8011" w:hanging="285"/>
      </w:pPr>
      <w:rPr>
        <w:rFonts w:hint="default"/>
        <w:lang w:val="es-ES" w:eastAsia="en-US" w:bidi="ar-SA"/>
      </w:rPr>
    </w:lvl>
    <w:lvl w:ilvl="8">
      <w:start w:val="0"/>
      <w:numFmt w:val="bullet"/>
      <w:lvlText w:val="•"/>
      <w:lvlJc w:val="left"/>
      <w:pPr>
        <w:ind w:left="8933" w:hanging="285"/>
      </w:pPr>
      <w:rPr>
        <w:rFonts w:hint="default"/>
        <w:lang w:val="es-ES" w:eastAsia="en-US" w:bidi="ar-SA"/>
      </w:rPr>
    </w:lvl>
  </w:abstractNum>
  <w:abstractNum w:abstractNumId="2">
    <w:multiLevelType w:val="hybridMultilevel"/>
    <w:lvl w:ilvl="0">
      <w:start w:val="0"/>
      <w:numFmt w:val="bullet"/>
      <w:lvlText w:val=""/>
      <w:lvlJc w:val="left"/>
      <w:pPr>
        <w:ind w:left="1430" w:hanging="360"/>
      </w:pPr>
      <w:rPr>
        <w:rFonts w:hint="default" w:ascii="Symbol" w:hAnsi="Symbol" w:eastAsia="Symbol" w:cs="Symbol"/>
        <w:b w:val="0"/>
        <w:bCs w:val="0"/>
        <w:i w:val="0"/>
        <w:iCs w:val="0"/>
        <w:spacing w:val="0"/>
        <w:w w:val="99"/>
        <w:sz w:val="22"/>
        <w:szCs w:val="22"/>
        <w:lang w:val="es-ES" w:eastAsia="en-US" w:bidi="ar-SA"/>
      </w:rPr>
    </w:lvl>
    <w:lvl w:ilvl="1">
      <w:start w:val="0"/>
      <w:numFmt w:val="bullet"/>
      <w:lvlText w:val="•"/>
      <w:lvlJc w:val="left"/>
      <w:pPr>
        <w:ind w:left="2373" w:hanging="360"/>
      </w:pPr>
      <w:rPr>
        <w:rFonts w:hint="default"/>
        <w:lang w:val="es-ES" w:eastAsia="en-US" w:bidi="ar-SA"/>
      </w:rPr>
    </w:lvl>
    <w:lvl w:ilvl="2">
      <w:start w:val="0"/>
      <w:numFmt w:val="bullet"/>
      <w:lvlText w:val="•"/>
      <w:lvlJc w:val="left"/>
      <w:pPr>
        <w:ind w:left="3307" w:hanging="360"/>
      </w:pPr>
      <w:rPr>
        <w:rFonts w:hint="default"/>
        <w:lang w:val="es-ES" w:eastAsia="en-US" w:bidi="ar-SA"/>
      </w:rPr>
    </w:lvl>
    <w:lvl w:ilvl="3">
      <w:start w:val="0"/>
      <w:numFmt w:val="bullet"/>
      <w:lvlText w:val="•"/>
      <w:lvlJc w:val="left"/>
      <w:pPr>
        <w:ind w:left="4241" w:hanging="360"/>
      </w:pPr>
      <w:rPr>
        <w:rFonts w:hint="default"/>
        <w:lang w:val="es-ES" w:eastAsia="en-US" w:bidi="ar-SA"/>
      </w:rPr>
    </w:lvl>
    <w:lvl w:ilvl="4">
      <w:start w:val="0"/>
      <w:numFmt w:val="bullet"/>
      <w:lvlText w:val="•"/>
      <w:lvlJc w:val="left"/>
      <w:pPr>
        <w:ind w:left="5174" w:hanging="360"/>
      </w:pPr>
      <w:rPr>
        <w:rFonts w:hint="default"/>
        <w:lang w:val="es-ES" w:eastAsia="en-US" w:bidi="ar-SA"/>
      </w:rPr>
    </w:lvl>
    <w:lvl w:ilvl="5">
      <w:start w:val="0"/>
      <w:numFmt w:val="bullet"/>
      <w:lvlText w:val="•"/>
      <w:lvlJc w:val="left"/>
      <w:pPr>
        <w:ind w:left="6108" w:hanging="360"/>
      </w:pPr>
      <w:rPr>
        <w:rFonts w:hint="default"/>
        <w:lang w:val="es-ES" w:eastAsia="en-US" w:bidi="ar-SA"/>
      </w:rPr>
    </w:lvl>
    <w:lvl w:ilvl="6">
      <w:start w:val="0"/>
      <w:numFmt w:val="bullet"/>
      <w:lvlText w:val="•"/>
      <w:lvlJc w:val="left"/>
      <w:pPr>
        <w:ind w:left="7042" w:hanging="360"/>
      </w:pPr>
      <w:rPr>
        <w:rFonts w:hint="default"/>
        <w:lang w:val="es-ES" w:eastAsia="en-US" w:bidi="ar-SA"/>
      </w:rPr>
    </w:lvl>
    <w:lvl w:ilvl="7">
      <w:start w:val="0"/>
      <w:numFmt w:val="bullet"/>
      <w:lvlText w:val="•"/>
      <w:lvlJc w:val="left"/>
      <w:pPr>
        <w:ind w:left="7975" w:hanging="360"/>
      </w:pPr>
      <w:rPr>
        <w:rFonts w:hint="default"/>
        <w:lang w:val="es-ES" w:eastAsia="en-US" w:bidi="ar-SA"/>
      </w:rPr>
    </w:lvl>
    <w:lvl w:ilvl="8">
      <w:start w:val="0"/>
      <w:numFmt w:val="bullet"/>
      <w:lvlText w:val="•"/>
      <w:lvlJc w:val="left"/>
      <w:pPr>
        <w:ind w:left="8909" w:hanging="360"/>
      </w:pPr>
      <w:rPr>
        <w:rFonts w:hint="default"/>
        <w:lang w:val="es-ES" w:eastAsia="en-US" w:bidi="ar-SA"/>
      </w:rPr>
    </w:lvl>
  </w:abstractNum>
  <w:abstractNum w:abstractNumId="1">
    <w:multiLevelType w:val="hybridMultilevel"/>
    <w:lvl w:ilvl="0">
      <w:start w:val="1"/>
      <w:numFmt w:val="lowerLetter"/>
      <w:lvlText w:val="%1)"/>
      <w:lvlJc w:val="left"/>
      <w:pPr>
        <w:ind w:left="1274" w:hanging="281"/>
        <w:jc w:val="left"/>
      </w:pPr>
      <w:rPr>
        <w:rFonts w:hint="default" w:ascii="Times New Roman" w:hAnsi="Times New Roman" w:eastAsia="Times New Roman" w:cs="Times New Roman"/>
        <w:b w:val="0"/>
        <w:bCs w:val="0"/>
        <w:i w:val="0"/>
        <w:iCs w:val="0"/>
        <w:spacing w:val="-4"/>
        <w:w w:val="99"/>
        <w:sz w:val="22"/>
        <w:szCs w:val="22"/>
        <w:lang w:val="es-ES" w:eastAsia="en-US" w:bidi="ar-SA"/>
      </w:rPr>
    </w:lvl>
    <w:lvl w:ilvl="1">
      <w:start w:val="0"/>
      <w:numFmt w:val="bullet"/>
      <w:lvlText w:val="-"/>
      <w:lvlJc w:val="left"/>
      <w:pPr>
        <w:ind w:left="1277" w:hanging="129"/>
      </w:pPr>
      <w:rPr>
        <w:rFonts w:hint="default" w:ascii="Times New Roman" w:hAnsi="Times New Roman" w:eastAsia="Times New Roman" w:cs="Times New Roman"/>
        <w:b w:val="0"/>
        <w:bCs w:val="0"/>
        <w:i w:val="0"/>
        <w:iCs w:val="0"/>
        <w:spacing w:val="0"/>
        <w:w w:val="99"/>
        <w:sz w:val="22"/>
        <w:szCs w:val="22"/>
        <w:lang w:val="es-ES" w:eastAsia="en-US" w:bidi="ar-SA"/>
      </w:rPr>
    </w:lvl>
    <w:lvl w:ilvl="2">
      <w:start w:val="0"/>
      <w:numFmt w:val="bullet"/>
      <w:lvlText w:val="•"/>
      <w:lvlJc w:val="left"/>
      <w:pPr>
        <w:ind w:left="3179" w:hanging="129"/>
      </w:pPr>
      <w:rPr>
        <w:rFonts w:hint="default"/>
        <w:lang w:val="es-ES" w:eastAsia="en-US" w:bidi="ar-SA"/>
      </w:rPr>
    </w:lvl>
    <w:lvl w:ilvl="3">
      <w:start w:val="0"/>
      <w:numFmt w:val="bullet"/>
      <w:lvlText w:val="•"/>
      <w:lvlJc w:val="left"/>
      <w:pPr>
        <w:ind w:left="4129" w:hanging="129"/>
      </w:pPr>
      <w:rPr>
        <w:rFonts w:hint="default"/>
        <w:lang w:val="es-ES" w:eastAsia="en-US" w:bidi="ar-SA"/>
      </w:rPr>
    </w:lvl>
    <w:lvl w:ilvl="4">
      <w:start w:val="0"/>
      <w:numFmt w:val="bullet"/>
      <w:lvlText w:val="•"/>
      <w:lvlJc w:val="left"/>
      <w:pPr>
        <w:ind w:left="5078" w:hanging="129"/>
      </w:pPr>
      <w:rPr>
        <w:rFonts w:hint="default"/>
        <w:lang w:val="es-ES" w:eastAsia="en-US" w:bidi="ar-SA"/>
      </w:rPr>
    </w:lvl>
    <w:lvl w:ilvl="5">
      <w:start w:val="0"/>
      <w:numFmt w:val="bullet"/>
      <w:lvlText w:val="•"/>
      <w:lvlJc w:val="left"/>
      <w:pPr>
        <w:ind w:left="6028" w:hanging="129"/>
      </w:pPr>
      <w:rPr>
        <w:rFonts w:hint="default"/>
        <w:lang w:val="es-ES" w:eastAsia="en-US" w:bidi="ar-SA"/>
      </w:rPr>
    </w:lvl>
    <w:lvl w:ilvl="6">
      <w:start w:val="0"/>
      <w:numFmt w:val="bullet"/>
      <w:lvlText w:val="•"/>
      <w:lvlJc w:val="left"/>
      <w:pPr>
        <w:ind w:left="6978" w:hanging="129"/>
      </w:pPr>
      <w:rPr>
        <w:rFonts w:hint="default"/>
        <w:lang w:val="es-ES" w:eastAsia="en-US" w:bidi="ar-SA"/>
      </w:rPr>
    </w:lvl>
    <w:lvl w:ilvl="7">
      <w:start w:val="0"/>
      <w:numFmt w:val="bullet"/>
      <w:lvlText w:val="•"/>
      <w:lvlJc w:val="left"/>
      <w:pPr>
        <w:ind w:left="7927" w:hanging="129"/>
      </w:pPr>
      <w:rPr>
        <w:rFonts w:hint="default"/>
        <w:lang w:val="es-ES" w:eastAsia="en-US" w:bidi="ar-SA"/>
      </w:rPr>
    </w:lvl>
    <w:lvl w:ilvl="8">
      <w:start w:val="0"/>
      <w:numFmt w:val="bullet"/>
      <w:lvlText w:val="•"/>
      <w:lvlJc w:val="left"/>
      <w:pPr>
        <w:ind w:left="8877" w:hanging="129"/>
      </w:pPr>
      <w:rPr>
        <w:rFonts w:hint="default"/>
        <w:lang w:val="es-ES" w:eastAsia="en-US" w:bidi="ar-SA"/>
      </w:rPr>
    </w:lvl>
  </w:abstractNum>
  <w:abstractNum w:abstractNumId="0">
    <w:multiLevelType w:val="hybridMultilevel"/>
    <w:lvl w:ilvl="0">
      <w:start w:val="1"/>
      <w:numFmt w:val="decimal"/>
      <w:lvlText w:val="%1)"/>
      <w:lvlJc w:val="left"/>
      <w:pPr>
        <w:ind w:left="3023" w:hanging="360"/>
        <w:jc w:val="right"/>
      </w:pPr>
      <w:rPr>
        <w:rFonts w:hint="default" w:ascii="Times New Roman" w:hAnsi="Times New Roman" w:eastAsia="Times New Roman" w:cs="Times New Roman"/>
        <w:b/>
        <w:bCs/>
        <w:i w:val="0"/>
        <w:iCs w:val="0"/>
        <w:spacing w:val="0"/>
        <w:w w:val="99"/>
        <w:sz w:val="22"/>
        <w:szCs w:val="22"/>
        <w:lang w:val="es-ES" w:eastAsia="en-US" w:bidi="ar-SA"/>
      </w:rPr>
    </w:lvl>
    <w:lvl w:ilvl="1">
      <w:start w:val="1"/>
      <w:numFmt w:val="lowerLetter"/>
      <w:lvlText w:val="%2)"/>
      <w:lvlJc w:val="left"/>
      <w:pPr>
        <w:ind w:left="1276" w:hanging="281"/>
        <w:jc w:val="left"/>
      </w:pPr>
      <w:rPr>
        <w:rFonts w:hint="default" w:ascii="Times New Roman" w:hAnsi="Times New Roman" w:eastAsia="Times New Roman" w:cs="Times New Roman"/>
        <w:b w:val="0"/>
        <w:bCs w:val="0"/>
        <w:i w:val="0"/>
        <w:iCs w:val="0"/>
        <w:spacing w:val="-4"/>
        <w:w w:val="99"/>
        <w:sz w:val="22"/>
        <w:szCs w:val="22"/>
        <w:lang w:val="es-ES" w:eastAsia="en-US" w:bidi="ar-SA"/>
      </w:rPr>
    </w:lvl>
    <w:lvl w:ilvl="2">
      <w:start w:val="1"/>
      <w:numFmt w:val="decimal"/>
      <w:lvlText w:val="%2.%3)"/>
      <w:lvlJc w:val="left"/>
      <w:pPr>
        <w:ind w:left="1709" w:hanging="398"/>
        <w:jc w:val="left"/>
      </w:pPr>
      <w:rPr>
        <w:rFonts w:hint="default" w:ascii="Times New Roman" w:hAnsi="Times New Roman" w:eastAsia="Times New Roman" w:cs="Times New Roman"/>
        <w:b w:val="0"/>
        <w:bCs w:val="0"/>
        <w:i w:val="0"/>
        <w:iCs w:val="0"/>
        <w:spacing w:val="0"/>
        <w:w w:val="99"/>
        <w:sz w:val="22"/>
        <w:szCs w:val="22"/>
        <w:lang w:val="es-ES" w:eastAsia="en-US" w:bidi="ar-SA"/>
      </w:rPr>
    </w:lvl>
    <w:lvl w:ilvl="3">
      <w:start w:val="0"/>
      <w:numFmt w:val="bullet"/>
      <w:lvlText w:val="•"/>
      <w:lvlJc w:val="left"/>
      <w:pPr>
        <w:ind w:left="1700" w:hanging="398"/>
      </w:pPr>
      <w:rPr>
        <w:rFonts w:hint="default"/>
        <w:lang w:val="es-ES" w:eastAsia="en-US" w:bidi="ar-SA"/>
      </w:rPr>
    </w:lvl>
    <w:lvl w:ilvl="4">
      <w:start w:val="0"/>
      <w:numFmt w:val="bullet"/>
      <w:lvlText w:val="•"/>
      <w:lvlJc w:val="left"/>
      <w:pPr>
        <w:ind w:left="3020" w:hanging="398"/>
      </w:pPr>
      <w:rPr>
        <w:rFonts w:hint="default"/>
        <w:lang w:val="es-ES" w:eastAsia="en-US" w:bidi="ar-SA"/>
      </w:rPr>
    </w:lvl>
    <w:lvl w:ilvl="5">
      <w:start w:val="0"/>
      <w:numFmt w:val="bullet"/>
      <w:lvlText w:val="•"/>
      <w:lvlJc w:val="left"/>
      <w:pPr>
        <w:ind w:left="4312" w:hanging="398"/>
      </w:pPr>
      <w:rPr>
        <w:rFonts w:hint="default"/>
        <w:lang w:val="es-ES" w:eastAsia="en-US" w:bidi="ar-SA"/>
      </w:rPr>
    </w:lvl>
    <w:lvl w:ilvl="6">
      <w:start w:val="0"/>
      <w:numFmt w:val="bullet"/>
      <w:lvlText w:val="•"/>
      <w:lvlJc w:val="left"/>
      <w:pPr>
        <w:ind w:left="5605" w:hanging="398"/>
      </w:pPr>
      <w:rPr>
        <w:rFonts w:hint="default"/>
        <w:lang w:val="es-ES" w:eastAsia="en-US" w:bidi="ar-SA"/>
      </w:rPr>
    </w:lvl>
    <w:lvl w:ilvl="7">
      <w:start w:val="0"/>
      <w:numFmt w:val="bullet"/>
      <w:lvlText w:val="•"/>
      <w:lvlJc w:val="left"/>
      <w:pPr>
        <w:ind w:left="6898" w:hanging="398"/>
      </w:pPr>
      <w:rPr>
        <w:rFonts w:hint="default"/>
        <w:lang w:val="es-ES" w:eastAsia="en-US" w:bidi="ar-SA"/>
      </w:rPr>
    </w:lvl>
    <w:lvl w:ilvl="8">
      <w:start w:val="0"/>
      <w:numFmt w:val="bullet"/>
      <w:lvlText w:val="•"/>
      <w:lvlJc w:val="left"/>
      <w:pPr>
        <w:ind w:left="8191" w:hanging="398"/>
      </w:pPr>
      <w:rPr>
        <w:rFonts w:hint="default"/>
        <w:lang w:val="es-E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708" w:hanging="358"/>
      <w:outlineLvl w:val="1"/>
    </w:pPr>
    <w:rPr>
      <w:rFonts w:ascii="Times New Roman" w:hAnsi="Times New Roman" w:eastAsia="Times New Roman" w:cs="Times New Roman"/>
      <w:b/>
      <w:bCs/>
      <w:sz w:val="22"/>
      <w:szCs w:val="22"/>
      <w:lang w:val="es-ES" w:eastAsia="en-US" w:bidi="ar-SA"/>
    </w:rPr>
  </w:style>
  <w:style w:styleId="Title" w:type="paragraph">
    <w:name w:val="Title"/>
    <w:basedOn w:val="Normal"/>
    <w:uiPriority w:val="1"/>
    <w:qFormat/>
    <w:pPr>
      <w:spacing w:before="1"/>
      <w:ind w:left="1000"/>
      <w:jc w:val="center"/>
    </w:pPr>
    <w:rPr>
      <w:rFonts w:ascii="Arial" w:hAnsi="Arial" w:eastAsia="Arial" w:cs="Arial"/>
      <w:sz w:val="60"/>
      <w:szCs w:val="60"/>
      <w:lang w:val="es-ES" w:eastAsia="en-US" w:bidi="ar-SA"/>
    </w:rPr>
  </w:style>
  <w:style w:styleId="ListParagraph" w:type="paragraph">
    <w:name w:val="List Paragraph"/>
    <w:basedOn w:val="Normal"/>
    <w:uiPriority w:val="1"/>
    <w:qFormat/>
    <w:pPr>
      <w:ind w:left="708" w:hanging="358"/>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Arraez</dc:creator>
  <dcterms:created xsi:type="dcterms:W3CDTF">2026-06-17T08:27:13Z</dcterms:created>
  <dcterms:modified xsi:type="dcterms:W3CDTF">2026-06-17T08:27:13Z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Microsoft® Word para Microsoft 365</vt:lpwstr>
  </property>
  <property fmtid="{D5CDD505-2E9C-101B-9397-08002B2CF9AE}" pid="4" name="LastSaved">
    <vt:filetime>2026-06-17T00:00:00Z</vt:filetime>
  </property>
  <property fmtid="{D5CDD505-2E9C-101B-9397-08002B2CF9AE}" pid="5" name="Producer">
    <vt:lpwstr>Microsoft® Word para Microsoft 365</vt:lpwstr>
  </property>
</Properties>
</file>